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4"/>
        <w:gridCol w:w="3016"/>
      </w:tblGrid>
      <w:tr w:rsidR="00840B45" w14:paraId="314EAEDD" w14:textId="77777777" w:rsidTr="00840B45">
        <w:tc>
          <w:tcPr>
            <w:tcW w:w="6487" w:type="dxa"/>
          </w:tcPr>
          <w:p w14:paraId="23DD9CE8" w14:textId="513D93FD" w:rsidR="00840B45" w:rsidRDefault="00422654" w:rsidP="00422654">
            <w:pPr>
              <w:pStyle w:val="BodyText"/>
              <w:spacing w:before="120" w:after="120"/>
              <w:rPr>
                <w:rFonts w:ascii="Arial" w:hAnsi="Arial"/>
                <w:lang w:val="en-CA"/>
              </w:rPr>
            </w:pPr>
            <w:r w:rsidRPr="000822F2">
              <w:rPr>
                <w:rFonts w:ascii="Arial" w:hAnsi="Arial"/>
                <w:b/>
                <w:bCs/>
                <w:lang w:val="en-CA"/>
              </w:rPr>
              <w:t>Fathom Nickel Inc.</w:t>
            </w:r>
            <w:r>
              <w:rPr>
                <w:rFonts w:ascii="Arial" w:hAnsi="Arial"/>
                <w:lang w:val="en-CA"/>
              </w:rPr>
              <w:t xml:space="preserve"> </w:t>
            </w:r>
            <w:r w:rsidR="00840B45">
              <w:rPr>
                <w:rFonts w:ascii="Arial" w:hAnsi="Arial"/>
                <w:lang w:val="en-CA"/>
              </w:rPr>
              <w:t>(the “</w:t>
            </w:r>
            <w:r w:rsidR="00840B45" w:rsidRPr="00422654">
              <w:rPr>
                <w:rFonts w:ascii="Arial" w:hAnsi="Arial"/>
                <w:b/>
                <w:bCs/>
                <w:lang w:val="en-CA"/>
              </w:rPr>
              <w:t>Issuer</w:t>
            </w:r>
            <w:r w:rsidR="00840B45">
              <w:rPr>
                <w:rFonts w:ascii="Arial" w:hAnsi="Arial"/>
                <w:lang w:val="en-CA"/>
              </w:rPr>
              <w:t xml:space="preserve">”).  </w:t>
            </w:r>
          </w:p>
        </w:tc>
        <w:tc>
          <w:tcPr>
            <w:tcW w:w="3089" w:type="dxa"/>
          </w:tcPr>
          <w:p w14:paraId="07D92AE1" w14:textId="3D63EF06" w:rsidR="00840B45" w:rsidRDefault="00422654" w:rsidP="00422654">
            <w:pPr>
              <w:pStyle w:val="BodyText"/>
              <w:spacing w:before="120" w:after="120"/>
              <w:rPr>
                <w:rFonts w:ascii="Arial" w:hAnsi="Arial"/>
                <w:lang w:val="en-CA"/>
              </w:rPr>
            </w:pPr>
            <w:r w:rsidRPr="000822F2">
              <w:rPr>
                <w:rFonts w:ascii="Arial" w:hAnsi="Arial"/>
                <w:b/>
                <w:bCs/>
                <w:lang w:val="en-CA"/>
              </w:rPr>
              <w:t>FNI</w:t>
            </w:r>
          </w:p>
        </w:tc>
      </w:tr>
    </w:tbl>
    <w:p w14:paraId="329725CF" w14:textId="1F6BDEBC" w:rsidR="00EA4133" w:rsidRDefault="00EA4133" w:rsidP="00422654">
      <w:pPr>
        <w:pStyle w:val="BodyText"/>
        <w:spacing w:after="120"/>
        <w:rPr>
          <w:rFonts w:ascii="Arial" w:hAnsi="Arial"/>
          <w:sz w:val="32"/>
          <w:lang w:val="en-CA"/>
        </w:rPr>
      </w:pPr>
      <w:r>
        <w:rPr>
          <w:rFonts w:ascii="Arial" w:hAnsi="Arial"/>
          <w:lang w:val="en-CA"/>
        </w:rPr>
        <w:t xml:space="preserve">Date:  </w:t>
      </w:r>
      <w:r w:rsidRPr="000822F2">
        <w:rPr>
          <w:rFonts w:ascii="Arial" w:hAnsi="Arial"/>
          <w:u w:val="single"/>
          <w:lang w:val="en-CA"/>
        </w:rPr>
        <w:tab/>
      </w:r>
      <w:r w:rsidR="00422654" w:rsidRPr="000822F2">
        <w:rPr>
          <w:rFonts w:ascii="Arial" w:hAnsi="Arial"/>
          <w:b/>
          <w:bCs/>
          <w:u w:val="single"/>
          <w:lang w:val="en-CA"/>
        </w:rPr>
        <w:t xml:space="preserve">May </w:t>
      </w:r>
      <w:r w:rsidR="00377DF2" w:rsidRPr="00377DF2">
        <w:rPr>
          <w:rFonts w:ascii="Arial" w:hAnsi="Arial"/>
          <w:b/>
          <w:bCs/>
          <w:u w:val="single"/>
          <w:lang w:val="en-CA"/>
        </w:rPr>
        <w:t>23</w:t>
      </w:r>
      <w:r w:rsidR="00422654" w:rsidRPr="000822F2">
        <w:rPr>
          <w:rFonts w:ascii="Arial" w:hAnsi="Arial"/>
          <w:b/>
          <w:bCs/>
          <w:u w:val="single"/>
          <w:lang w:val="en-CA"/>
        </w:rPr>
        <w:t>, 2023</w:t>
      </w:r>
      <w:r w:rsidR="00422654">
        <w:rPr>
          <w:rFonts w:ascii="Arial" w:hAnsi="Arial"/>
          <w:b/>
          <w:bCs/>
          <w:lang w:val="en-CA"/>
        </w:rPr>
        <w:tab/>
      </w:r>
      <w:r w:rsidRPr="00422654">
        <w:rPr>
          <w:rFonts w:ascii="Arial" w:hAnsi="Arial"/>
          <w:lang w:val="en-CA"/>
        </w:rPr>
        <w:t>Is</w:t>
      </w:r>
      <w:r>
        <w:rPr>
          <w:rFonts w:ascii="Arial" w:hAnsi="Arial"/>
          <w:lang w:val="en-CA"/>
        </w:rPr>
        <w:t xml:space="preserve">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sidR="00422654" w:rsidRPr="00422654">
        <w:rPr>
          <w:rFonts w:ascii="Arial" w:hAnsi="Arial"/>
          <w:b/>
          <w:bCs/>
          <w:u w:val="single"/>
          <w:lang w:val="en-CA"/>
        </w:rPr>
        <w:t>X</w:t>
      </w:r>
      <w:r w:rsidR="00422654">
        <w:rPr>
          <w:rFonts w:ascii="Arial" w:hAnsi="Arial"/>
          <w:b/>
          <w:bCs/>
          <w:lang w:val="en-CA"/>
        </w:rPr>
        <w:t xml:space="preserve"> </w:t>
      </w:r>
      <w:r>
        <w:rPr>
          <w:rFonts w:ascii="Arial" w:hAnsi="Arial"/>
          <w:lang w:val="en-CA"/>
        </w:rPr>
        <w:t>No</w:t>
      </w:r>
      <w:r>
        <w:rPr>
          <w:rFonts w:ascii="Arial" w:hAnsi="Arial"/>
          <w:sz w:val="32"/>
          <w:lang w:val="en-CA"/>
        </w:rPr>
        <w:tab/>
      </w:r>
    </w:p>
    <w:p w14:paraId="6B9241A6" w14:textId="0A66156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422654" w:rsidRPr="000822F2">
        <w:rPr>
          <w:rFonts w:ascii="Arial" w:hAnsi="Arial"/>
          <w:b/>
          <w:bCs/>
          <w:u w:val="single"/>
          <w:lang w:val="en-CA"/>
        </w:rPr>
        <w:t>N/A</w:t>
      </w:r>
    </w:p>
    <w:p w14:paraId="64ED7A22" w14:textId="7B8C64E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33F9C" w:rsidRPr="00377DF2">
        <w:rPr>
          <w:rFonts w:ascii="Arial" w:hAnsi="Arial"/>
          <w:b/>
          <w:bCs/>
          <w:u w:val="single"/>
          <w:lang w:val="en-CA"/>
        </w:rPr>
        <w:t>84,873,060</w:t>
      </w:r>
      <w:r>
        <w:rPr>
          <w:rFonts w:ascii="Arial" w:hAnsi="Arial"/>
          <w:lang w:val="en-CA"/>
        </w:rPr>
        <w:t>.</w:t>
      </w:r>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578C054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sidRPr="00422654">
        <w:rPr>
          <w:rFonts w:ascii="Arial" w:hAnsi="Arial"/>
          <w:b/>
          <w:bCs/>
          <w:u w:val="single"/>
          <w:lang w:val="en-CA"/>
        </w:rPr>
        <w:softHyphen/>
      </w:r>
      <w:r w:rsidR="00422654" w:rsidRPr="00422654">
        <w:rPr>
          <w:rFonts w:ascii="Arial" w:hAnsi="Arial"/>
          <w:b/>
          <w:bCs/>
          <w:u w:val="single"/>
          <w:lang w:val="en-CA"/>
        </w:rPr>
        <w:t>April 28, 2023</w:t>
      </w:r>
      <w:r w:rsidR="003A701F">
        <w:rPr>
          <w:rFonts w:ascii="Arial" w:hAnsi="Arial"/>
          <w:b/>
          <w:bCs/>
          <w:u w:val="single"/>
          <w:lang w:val="en-CA"/>
        </w:rPr>
        <w:t xml:space="preserve"> </w:t>
      </w:r>
      <w:r w:rsidR="00E66456">
        <w:rPr>
          <w:rFonts w:ascii="Arial" w:hAnsi="Arial"/>
          <w:b/>
          <w:bCs/>
          <w:u w:val="single"/>
          <w:lang w:val="en-CA"/>
        </w:rPr>
        <w:t xml:space="preserve">/ </w:t>
      </w:r>
      <w:r w:rsidR="003A701F">
        <w:rPr>
          <w:rFonts w:ascii="Arial" w:hAnsi="Arial"/>
          <w:b/>
          <w:bCs/>
          <w:u w:val="single"/>
          <w:lang w:val="en-CA"/>
        </w:rPr>
        <w:t>May 8, 2023</w:t>
      </w:r>
      <w:r w:rsidR="00840B45">
        <w:rPr>
          <w:rFonts w:ascii="Arial" w:hAnsi="Arial"/>
          <w:lang w:val="en-CA"/>
        </w:rPr>
        <w:t xml:space="preserve"> </w:t>
      </w:r>
      <w:r w:rsidR="00422654">
        <w:rPr>
          <w:rFonts w:ascii="Arial" w:hAnsi="Arial"/>
          <w:lang w:val="en-CA"/>
        </w:rPr>
        <w:t xml:space="preserve"> </w:t>
      </w:r>
      <w:r w:rsidR="00840B45">
        <w:rPr>
          <w:rFonts w:ascii="Arial" w:hAnsi="Arial"/>
          <w:lang w:val="en-CA"/>
        </w:rPr>
        <w:t>or</w:t>
      </w:r>
    </w:p>
    <w:p w14:paraId="2B26F9CC" w14:textId="7975EB0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332D5" w:rsidRPr="007332D5">
        <w:rPr>
          <w:rFonts w:ascii="Arial" w:hAnsi="Arial"/>
          <w:b/>
          <w:bCs/>
          <w:u w:val="single"/>
        </w:rPr>
        <w:t xml:space="preserve"> </w:t>
      </w:r>
      <w:r w:rsidR="007332D5">
        <w:rPr>
          <w:rFonts w:ascii="Arial" w:hAnsi="Arial"/>
          <w:b/>
          <w:bCs/>
          <w:u w:val="single"/>
        </w:rPr>
        <w:t>N/A</w:t>
      </w:r>
    </w:p>
    <w:p w14:paraId="1149D8A2" w14:textId="5028B9D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422654" w:rsidRPr="00422654">
        <w:rPr>
          <w:rFonts w:ascii="Arial" w:hAnsi="Arial"/>
          <w:b/>
          <w:bCs/>
          <w:u w:val="single"/>
          <w:lang w:val="en-CA"/>
        </w:rPr>
        <w:t>$0.155</w:t>
      </w:r>
      <w:r w:rsidR="00840B45">
        <w:rPr>
          <w:rFonts w:ascii="Arial" w:hAnsi="Arial"/>
          <w:lang w:val="en-CA"/>
        </w:rPr>
        <w:t xml:space="preserve"> </w:t>
      </w:r>
      <w:r w:rsidR="00422654">
        <w:rPr>
          <w:rFonts w:ascii="Arial" w:hAnsi="Arial"/>
          <w:lang w:val="en-CA"/>
        </w:rPr>
        <w:t xml:space="preserve"> </w:t>
      </w:r>
      <w:r w:rsidR="00840B45">
        <w:rPr>
          <w:rFonts w:ascii="Arial" w:hAnsi="Arial"/>
          <w:lang w:val="en-CA"/>
        </w:rPr>
        <w:t>or</w:t>
      </w:r>
    </w:p>
    <w:p w14:paraId="59088A4E" w14:textId="1C03A9D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332D5" w:rsidRPr="007332D5">
        <w:rPr>
          <w:rFonts w:ascii="Arial" w:hAnsi="Arial"/>
          <w:b/>
          <w:bCs/>
          <w:u w:val="single"/>
        </w:rPr>
        <w:t xml:space="preserve"> </w:t>
      </w:r>
      <w:r w:rsidR="007332D5">
        <w:rPr>
          <w:rFonts w:ascii="Arial" w:hAnsi="Arial"/>
          <w:b/>
          <w:bCs/>
          <w:u w:val="single"/>
        </w:rPr>
        <w:t>N/A</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44A5269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7332D5" w:rsidRPr="007332D5">
        <w:rPr>
          <w:rFonts w:ascii="Arial" w:hAnsi="Arial"/>
          <w:b/>
          <w:bCs/>
          <w:u w:val="single"/>
          <w:lang w:val="en-CA"/>
        </w:rPr>
        <w:t>TBD</w:t>
      </w:r>
    </w:p>
    <w:p w14:paraId="7749581F" w14:textId="167EED41"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7332D5" w:rsidRPr="007332D5">
        <w:rPr>
          <w:rFonts w:ascii="Arial" w:hAnsi="Arial"/>
          <w:b/>
          <w:bCs/>
          <w:u w:val="single"/>
          <w:lang w:val="en-CA"/>
        </w:rPr>
        <w:t>TBD</w:t>
      </w: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828" w:type="dxa"/>
        <w:tblLayout w:type="fixed"/>
        <w:tblLook w:val="04A0" w:firstRow="1" w:lastRow="0" w:firstColumn="1" w:lastColumn="0" w:noHBand="0" w:noVBand="1"/>
      </w:tblPr>
      <w:tblGrid>
        <w:gridCol w:w="3888"/>
        <w:gridCol w:w="1440"/>
        <w:gridCol w:w="1260"/>
        <w:gridCol w:w="1350"/>
        <w:gridCol w:w="1890"/>
      </w:tblGrid>
      <w:tr w:rsidR="00C536D3" w:rsidRPr="00C536D3" w14:paraId="2603D0C5" w14:textId="77777777" w:rsidTr="005F7663">
        <w:tc>
          <w:tcPr>
            <w:tcW w:w="3888"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440"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2610" w:type="dxa"/>
            <w:gridSpan w:val="2"/>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1890"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5F7663">
        <w:tc>
          <w:tcPr>
            <w:tcW w:w="3888" w:type="dxa"/>
          </w:tcPr>
          <w:p w14:paraId="7B6CD7BA" w14:textId="44564C55" w:rsidR="00C536D3" w:rsidRPr="00422654" w:rsidRDefault="00422654" w:rsidP="00C536D3">
            <w:pPr>
              <w:pStyle w:val="BodyText"/>
              <w:rPr>
                <w:rFonts w:ascii="Arial" w:hAnsi="Arial"/>
                <w:b/>
                <w:bCs/>
                <w:lang w:val="en-CA"/>
              </w:rPr>
            </w:pPr>
            <w:r w:rsidRPr="00422654">
              <w:rPr>
                <w:rFonts w:ascii="Arial" w:hAnsi="Arial"/>
                <w:b/>
                <w:bCs/>
                <w:lang w:val="en-CA"/>
              </w:rPr>
              <w:t>TBD</w:t>
            </w:r>
          </w:p>
        </w:tc>
        <w:tc>
          <w:tcPr>
            <w:tcW w:w="1440" w:type="dxa"/>
            <w:tcBorders>
              <w:bottom w:val="single" w:sz="4" w:space="0" w:color="auto"/>
            </w:tcBorders>
          </w:tcPr>
          <w:p w14:paraId="199CE353" w14:textId="31FD3268" w:rsidR="00C536D3" w:rsidRPr="00422654" w:rsidRDefault="00422654" w:rsidP="00C536D3">
            <w:pPr>
              <w:pStyle w:val="BodyText"/>
              <w:rPr>
                <w:rFonts w:ascii="Arial" w:hAnsi="Arial"/>
                <w:b/>
                <w:bCs/>
                <w:lang w:val="en-CA"/>
              </w:rPr>
            </w:pPr>
            <w:r>
              <w:rPr>
                <w:rFonts w:ascii="Arial" w:hAnsi="Arial"/>
                <w:b/>
                <w:bCs/>
                <w:lang w:val="en-CA"/>
              </w:rPr>
              <w:t>TBD</w:t>
            </w:r>
          </w:p>
        </w:tc>
        <w:tc>
          <w:tcPr>
            <w:tcW w:w="2610" w:type="dxa"/>
            <w:gridSpan w:val="2"/>
            <w:tcBorders>
              <w:bottom w:val="single" w:sz="4" w:space="0" w:color="auto"/>
            </w:tcBorders>
          </w:tcPr>
          <w:p w14:paraId="32C9983B" w14:textId="2E5850A0" w:rsidR="00C536D3" w:rsidRPr="00572A29" w:rsidRDefault="008E2091" w:rsidP="00C536D3">
            <w:pPr>
              <w:pStyle w:val="BodyText"/>
              <w:rPr>
                <w:rFonts w:ascii="Arial" w:hAnsi="Arial"/>
                <w:b/>
                <w:bCs/>
                <w:lang w:val="en-CA"/>
              </w:rPr>
            </w:pPr>
            <w:r w:rsidRPr="00572A29">
              <w:rPr>
                <w:rFonts w:ascii="Arial" w:hAnsi="Arial"/>
                <w:b/>
                <w:bCs/>
                <w:lang w:val="en-CA"/>
              </w:rPr>
              <w:t>$0.135</w:t>
            </w:r>
            <w:r w:rsidR="00572A29" w:rsidRPr="00572A29">
              <w:rPr>
                <w:rFonts w:ascii="Arial" w:hAnsi="Arial"/>
                <w:b/>
                <w:bCs/>
                <w:lang w:val="en-CA"/>
              </w:rPr>
              <w:t>/</w:t>
            </w:r>
            <w:r w:rsidRPr="00572A29">
              <w:rPr>
                <w:rFonts w:ascii="Arial" w:hAnsi="Arial"/>
                <w:b/>
                <w:bCs/>
                <w:lang w:val="en-CA"/>
              </w:rPr>
              <w:t xml:space="preserve"> $0.155</w:t>
            </w:r>
            <w:r w:rsidR="00572A29" w:rsidRPr="00572A29">
              <w:rPr>
                <w:rFonts w:ascii="Arial" w:hAnsi="Arial"/>
                <w:b/>
                <w:bCs/>
                <w:lang w:val="en-CA"/>
              </w:rPr>
              <w:t>/</w:t>
            </w:r>
            <w:r w:rsidRPr="00572A29">
              <w:rPr>
                <w:rFonts w:ascii="Arial" w:hAnsi="Arial"/>
                <w:b/>
                <w:bCs/>
                <w:lang w:val="en-CA"/>
              </w:rPr>
              <w:t xml:space="preserve"> $0.19</w:t>
            </w:r>
          </w:p>
        </w:tc>
        <w:tc>
          <w:tcPr>
            <w:tcW w:w="1890" w:type="dxa"/>
            <w:tcBorders>
              <w:bottom w:val="single" w:sz="4" w:space="0" w:color="auto"/>
            </w:tcBorders>
          </w:tcPr>
          <w:p w14:paraId="7AE1E84C" w14:textId="57D23D34" w:rsidR="00C536D3" w:rsidRPr="007332D5" w:rsidRDefault="007332D5" w:rsidP="00C536D3">
            <w:pPr>
              <w:pStyle w:val="BodyText"/>
              <w:rPr>
                <w:rFonts w:ascii="Arial" w:hAnsi="Arial"/>
                <w:b/>
                <w:bCs/>
                <w:lang w:val="en-CA"/>
              </w:rPr>
            </w:pPr>
            <w:r w:rsidRPr="007332D5">
              <w:rPr>
                <w:rFonts w:ascii="Arial" w:hAnsi="Arial"/>
                <w:b/>
                <w:bCs/>
                <w:lang w:val="en-CA"/>
              </w:rPr>
              <w:t>TBD</w:t>
            </w:r>
          </w:p>
        </w:tc>
      </w:tr>
      <w:tr w:rsidR="008E2091" w:rsidRPr="00C536D3" w14:paraId="596B31B5" w14:textId="77777777" w:rsidTr="005F7663">
        <w:tc>
          <w:tcPr>
            <w:tcW w:w="3888" w:type="dxa"/>
            <w:tcBorders>
              <w:bottom w:val="single" w:sz="4" w:space="0" w:color="auto"/>
            </w:tcBorders>
          </w:tcPr>
          <w:p w14:paraId="770F650D" w14:textId="77777777" w:rsidR="008E2091" w:rsidRPr="00C536D3" w:rsidRDefault="008E2091" w:rsidP="00C536D3">
            <w:pPr>
              <w:pStyle w:val="BodyText"/>
              <w:rPr>
                <w:rFonts w:ascii="Arial" w:hAnsi="Arial"/>
                <w:lang w:val="en-CA"/>
              </w:rPr>
            </w:pPr>
            <w:r w:rsidRPr="00C536D3">
              <w:rPr>
                <w:rFonts w:ascii="Arial" w:hAnsi="Arial"/>
                <w:lang w:val="en-CA"/>
              </w:rPr>
              <w:t>Total number of purchasers:</w:t>
            </w:r>
          </w:p>
        </w:tc>
        <w:tc>
          <w:tcPr>
            <w:tcW w:w="2700" w:type="dxa"/>
            <w:gridSpan w:val="2"/>
            <w:tcBorders>
              <w:bottom w:val="single" w:sz="4" w:space="0" w:color="auto"/>
              <w:right w:val="nil"/>
            </w:tcBorders>
          </w:tcPr>
          <w:p w14:paraId="44A6881D" w14:textId="77777777" w:rsidR="008E2091" w:rsidRPr="00422654" w:rsidRDefault="008E2091" w:rsidP="008E2091">
            <w:pPr>
              <w:pStyle w:val="BodyText"/>
              <w:rPr>
                <w:rFonts w:ascii="Arial" w:hAnsi="Arial"/>
                <w:b/>
                <w:bCs/>
                <w:lang w:val="en-CA"/>
              </w:rPr>
            </w:pPr>
            <w:r w:rsidRPr="00422654">
              <w:rPr>
                <w:rFonts w:ascii="Arial" w:hAnsi="Arial"/>
                <w:b/>
                <w:bCs/>
                <w:lang w:val="en-CA"/>
              </w:rPr>
              <w:t>Unknown at this time</w:t>
            </w:r>
          </w:p>
        </w:tc>
        <w:tc>
          <w:tcPr>
            <w:tcW w:w="3240" w:type="dxa"/>
            <w:gridSpan w:val="2"/>
            <w:tcBorders>
              <w:left w:val="nil"/>
              <w:bottom w:val="single" w:sz="4" w:space="0" w:color="auto"/>
            </w:tcBorders>
          </w:tcPr>
          <w:p w14:paraId="5A0DAB23" w14:textId="752918BA" w:rsidR="008E2091" w:rsidRPr="00422654" w:rsidRDefault="008E2091" w:rsidP="007332D5">
            <w:pPr>
              <w:pStyle w:val="BodyText"/>
              <w:jc w:val="right"/>
              <w:rPr>
                <w:rFonts w:ascii="Arial" w:hAnsi="Arial"/>
                <w:b/>
                <w:bCs/>
                <w:lang w:val="en-CA"/>
              </w:rPr>
            </w:pPr>
          </w:p>
        </w:tc>
      </w:tr>
      <w:tr w:rsidR="00513E12" w:rsidRPr="00C536D3" w14:paraId="4975D18F" w14:textId="77777777" w:rsidTr="005F7663">
        <w:tc>
          <w:tcPr>
            <w:tcW w:w="3888" w:type="dxa"/>
            <w:tcBorders>
              <w:right w:val="single" w:sz="4" w:space="0" w:color="auto"/>
            </w:tcBorders>
          </w:tcPr>
          <w:p w14:paraId="0FB95AE4" w14:textId="77777777" w:rsidR="00513E12" w:rsidRPr="00C536D3" w:rsidRDefault="00513E12" w:rsidP="00C536D3">
            <w:pPr>
              <w:pStyle w:val="BodyText"/>
              <w:rPr>
                <w:rFonts w:ascii="Arial" w:hAnsi="Arial"/>
                <w:lang w:val="en-CA"/>
              </w:rPr>
            </w:pPr>
            <w:r w:rsidRPr="00C536D3">
              <w:rPr>
                <w:rFonts w:ascii="Arial" w:hAnsi="Arial"/>
                <w:lang w:val="en-CA"/>
              </w:rPr>
              <w:t>Total dollar value of distribution in all jurisdictions:</w:t>
            </w:r>
          </w:p>
        </w:tc>
        <w:tc>
          <w:tcPr>
            <w:tcW w:w="5940" w:type="dxa"/>
            <w:gridSpan w:val="4"/>
            <w:tcBorders>
              <w:left w:val="single" w:sz="4" w:space="0" w:color="auto"/>
            </w:tcBorders>
          </w:tcPr>
          <w:p w14:paraId="5284BDE5" w14:textId="1007F46A" w:rsidR="00513E12" w:rsidRPr="00422654" w:rsidRDefault="00513E12" w:rsidP="00C536D3">
            <w:pPr>
              <w:pStyle w:val="BodyText"/>
              <w:rPr>
                <w:rFonts w:ascii="Arial" w:hAnsi="Arial"/>
                <w:b/>
                <w:bCs/>
                <w:lang w:val="en-CA"/>
              </w:rPr>
            </w:pPr>
            <w:r w:rsidRPr="00422654">
              <w:rPr>
                <w:rFonts w:ascii="Arial" w:hAnsi="Arial"/>
                <w:b/>
                <w:bCs/>
                <w:lang w:val="en-CA"/>
              </w:rPr>
              <w:t>Up to $3,000,000</w:t>
            </w:r>
          </w:p>
        </w:tc>
      </w:tr>
    </w:tbl>
    <w:p w14:paraId="25EE2FEF" w14:textId="77777777" w:rsidR="00C536D3" w:rsidRPr="00C536D3" w:rsidRDefault="00C536D3" w:rsidP="00A522D6">
      <w:pPr>
        <w:pStyle w:val="BodyText"/>
        <w:spacing w:after="120"/>
        <w:rPr>
          <w:rFonts w:ascii="Arial" w:hAnsi="Arial"/>
          <w:b/>
          <w:u w:val="single"/>
          <w:lang w:val="en-CA"/>
        </w:rPr>
      </w:pPr>
      <w:r w:rsidRPr="00C536D3">
        <w:rPr>
          <w:rFonts w:ascii="Arial" w:hAnsi="Arial"/>
          <w:b/>
          <w:u w:val="single"/>
          <w:lang w:val="en-CA"/>
        </w:rPr>
        <w:t>Table 1B – Related Persons</w:t>
      </w:r>
    </w:p>
    <w:tbl>
      <w:tblPr>
        <w:tblW w:w="100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40"/>
        <w:gridCol w:w="1440"/>
        <w:gridCol w:w="900"/>
        <w:gridCol w:w="1080"/>
      </w:tblGrid>
      <w:tr w:rsidR="00EA4133" w:rsidRPr="00572A29" w14:paraId="133159F1" w14:textId="77777777" w:rsidTr="00572A29">
        <w:trPr>
          <w:trHeight w:val="1965"/>
        </w:trPr>
        <w:tc>
          <w:tcPr>
            <w:tcW w:w="1394" w:type="dxa"/>
          </w:tcPr>
          <w:p w14:paraId="655604FB" w14:textId="77777777" w:rsidR="00EA4133" w:rsidRPr="00572A29" w:rsidRDefault="00EA4133">
            <w:pPr>
              <w:pStyle w:val="BodyText"/>
              <w:spacing w:before="0" w:line="280" w:lineRule="exact"/>
              <w:jc w:val="center"/>
              <w:rPr>
                <w:rFonts w:ascii="Arial" w:hAnsi="Arial"/>
                <w:b/>
                <w:sz w:val="16"/>
                <w:szCs w:val="16"/>
                <w:lang w:val="en-CA"/>
              </w:rPr>
            </w:pPr>
          </w:p>
          <w:p w14:paraId="300A0759" w14:textId="77777777" w:rsidR="00EA4133" w:rsidRPr="00572A29" w:rsidRDefault="00EA4133" w:rsidP="00C536D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Full Name &amp;</w:t>
            </w:r>
            <w:r w:rsidR="00C536D3" w:rsidRPr="00572A29">
              <w:rPr>
                <w:rFonts w:ascii="Arial" w:hAnsi="Arial"/>
                <w:b/>
                <w:sz w:val="16"/>
                <w:szCs w:val="16"/>
                <w:lang w:val="en-CA"/>
              </w:rPr>
              <w:t>Municipality of Residence</w:t>
            </w:r>
            <w:r w:rsidRPr="00572A29">
              <w:rPr>
                <w:rFonts w:ascii="Arial" w:hAnsi="Arial"/>
                <w:b/>
                <w:sz w:val="16"/>
                <w:szCs w:val="16"/>
                <w:lang w:val="en-CA"/>
              </w:rPr>
              <w:t xml:space="preserve"> of Placee</w:t>
            </w:r>
          </w:p>
        </w:tc>
        <w:tc>
          <w:tcPr>
            <w:tcW w:w="1376" w:type="dxa"/>
          </w:tcPr>
          <w:p w14:paraId="0BC8A5F8" w14:textId="77777777" w:rsidR="00EA4133" w:rsidRPr="00572A29" w:rsidRDefault="00EA4133">
            <w:pPr>
              <w:pStyle w:val="BodyText"/>
              <w:spacing w:before="0" w:line="280" w:lineRule="exact"/>
              <w:jc w:val="center"/>
              <w:rPr>
                <w:rFonts w:ascii="Arial" w:hAnsi="Arial"/>
                <w:b/>
                <w:sz w:val="16"/>
                <w:szCs w:val="16"/>
                <w:lang w:val="en-CA"/>
              </w:rPr>
            </w:pPr>
          </w:p>
          <w:p w14:paraId="2B93DD42"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Number of Securities Purchased or to be Purchased</w:t>
            </w:r>
          </w:p>
        </w:tc>
        <w:tc>
          <w:tcPr>
            <w:tcW w:w="1192" w:type="dxa"/>
          </w:tcPr>
          <w:p w14:paraId="629BEF5C" w14:textId="77777777" w:rsidR="00EA4133" w:rsidRPr="00572A29" w:rsidRDefault="00EA4133">
            <w:pPr>
              <w:pStyle w:val="BodyText"/>
              <w:spacing w:before="0" w:line="280" w:lineRule="exact"/>
              <w:jc w:val="center"/>
              <w:rPr>
                <w:rFonts w:ascii="Arial" w:hAnsi="Arial"/>
                <w:b/>
                <w:sz w:val="16"/>
                <w:szCs w:val="16"/>
                <w:lang w:val="en-CA"/>
              </w:rPr>
            </w:pPr>
          </w:p>
          <w:p w14:paraId="133A9A14"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Purchase price per Security (CDN$)</w:t>
            </w:r>
          </w:p>
        </w:tc>
        <w:tc>
          <w:tcPr>
            <w:tcW w:w="1376" w:type="dxa"/>
          </w:tcPr>
          <w:p w14:paraId="4A35BC32" w14:textId="77777777" w:rsidR="00EA4133" w:rsidRPr="00572A29" w:rsidRDefault="00EA4133">
            <w:pPr>
              <w:pStyle w:val="BodyText"/>
              <w:spacing w:before="0" w:line="280" w:lineRule="exact"/>
              <w:jc w:val="center"/>
              <w:rPr>
                <w:rFonts w:ascii="Arial" w:hAnsi="Arial"/>
                <w:b/>
                <w:sz w:val="16"/>
                <w:szCs w:val="16"/>
                <w:lang w:val="en-CA"/>
              </w:rPr>
            </w:pPr>
          </w:p>
          <w:p w14:paraId="0A819638"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Conversion</w:t>
            </w:r>
          </w:p>
          <w:p w14:paraId="286CA3D5"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Price (if</w:t>
            </w:r>
          </w:p>
          <w:p w14:paraId="6AD5F2C6"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Applicable)</w:t>
            </w:r>
          </w:p>
          <w:p w14:paraId="2CCF9250" w14:textId="77777777" w:rsidR="00C536D3" w:rsidRPr="00572A29" w:rsidRDefault="00C536D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(CDN$)</w:t>
            </w:r>
          </w:p>
        </w:tc>
        <w:tc>
          <w:tcPr>
            <w:tcW w:w="1340" w:type="dxa"/>
          </w:tcPr>
          <w:p w14:paraId="322CCE9F" w14:textId="77777777" w:rsidR="00EA4133" w:rsidRPr="00572A29" w:rsidRDefault="00EA4133">
            <w:pPr>
              <w:pStyle w:val="BodyText"/>
              <w:spacing w:before="0" w:line="280" w:lineRule="exact"/>
              <w:jc w:val="center"/>
              <w:rPr>
                <w:rFonts w:ascii="Arial" w:hAnsi="Arial"/>
                <w:b/>
                <w:sz w:val="16"/>
                <w:szCs w:val="16"/>
                <w:lang w:val="en-CA"/>
              </w:rPr>
            </w:pPr>
          </w:p>
          <w:p w14:paraId="7BFF6F24"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Prospectus Exemption</w:t>
            </w:r>
          </w:p>
        </w:tc>
        <w:tc>
          <w:tcPr>
            <w:tcW w:w="1440" w:type="dxa"/>
          </w:tcPr>
          <w:p w14:paraId="1157BFED" w14:textId="77777777" w:rsidR="00C536D3" w:rsidRPr="00572A29" w:rsidRDefault="00C536D3" w:rsidP="00C536D3">
            <w:pPr>
              <w:pStyle w:val="BodyText"/>
              <w:spacing w:before="0" w:line="280" w:lineRule="exact"/>
              <w:jc w:val="center"/>
              <w:rPr>
                <w:rFonts w:ascii="Arial" w:hAnsi="Arial"/>
                <w:b/>
                <w:sz w:val="16"/>
                <w:szCs w:val="16"/>
              </w:rPr>
            </w:pPr>
          </w:p>
          <w:p w14:paraId="6E6AA6B6" w14:textId="77777777" w:rsidR="00EA4133" w:rsidRPr="00572A29" w:rsidRDefault="00C536D3" w:rsidP="00C536D3">
            <w:pPr>
              <w:pStyle w:val="BodyText"/>
              <w:spacing w:before="0" w:line="280" w:lineRule="exact"/>
              <w:jc w:val="center"/>
              <w:rPr>
                <w:rFonts w:ascii="Arial" w:hAnsi="Arial"/>
                <w:b/>
                <w:sz w:val="16"/>
                <w:szCs w:val="16"/>
                <w:lang w:val="en-CA"/>
              </w:rPr>
            </w:pPr>
            <w:r w:rsidRPr="00572A29">
              <w:rPr>
                <w:rFonts w:ascii="Arial" w:hAnsi="Arial"/>
                <w:b/>
                <w:sz w:val="16"/>
                <w:szCs w:val="16"/>
              </w:rPr>
              <w:t>TotalSecuritiesPreviously</w:t>
            </w:r>
            <w:r w:rsidR="00EA4133" w:rsidRPr="00572A29">
              <w:rPr>
                <w:rFonts w:ascii="Arial" w:hAnsi="Arial"/>
                <w:b/>
                <w:sz w:val="16"/>
                <w:szCs w:val="16"/>
              </w:rPr>
              <w:t xml:space="preserve"> Owned, Controlled or Directed</w:t>
            </w:r>
          </w:p>
        </w:tc>
        <w:tc>
          <w:tcPr>
            <w:tcW w:w="900" w:type="dxa"/>
          </w:tcPr>
          <w:p w14:paraId="0C8A7620" w14:textId="77777777" w:rsidR="00EA4133" w:rsidRPr="00572A29" w:rsidRDefault="00EA4133">
            <w:pPr>
              <w:pStyle w:val="BodyText"/>
              <w:spacing w:before="0" w:line="280" w:lineRule="exact"/>
              <w:jc w:val="center"/>
              <w:rPr>
                <w:rFonts w:ascii="Arial" w:hAnsi="Arial"/>
                <w:b/>
                <w:sz w:val="16"/>
                <w:szCs w:val="16"/>
                <w:lang w:val="en-CA"/>
              </w:rPr>
            </w:pPr>
          </w:p>
          <w:p w14:paraId="36E27395" w14:textId="77777777" w:rsidR="00EA4133" w:rsidRPr="00572A29" w:rsidRDefault="00EA4133">
            <w:pPr>
              <w:pStyle w:val="BodyText"/>
              <w:spacing w:before="0" w:line="280" w:lineRule="exact"/>
              <w:jc w:val="center"/>
              <w:rPr>
                <w:rFonts w:ascii="Arial" w:hAnsi="Arial"/>
                <w:b/>
                <w:sz w:val="16"/>
                <w:szCs w:val="16"/>
                <w:lang w:val="en-CA"/>
              </w:rPr>
            </w:pPr>
            <w:r w:rsidRPr="00572A29">
              <w:rPr>
                <w:rFonts w:ascii="Arial" w:hAnsi="Arial"/>
                <w:b/>
                <w:sz w:val="16"/>
                <w:szCs w:val="16"/>
                <w:lang w:val="en-CA"/>
              </w:rPr>
              <w:t>Payment Date(1)</w:t>
            </w:r>
          </w:p>
        </w:tc>
        <w:tc>
          <w:tcPr>
            <w:tcW w:w="1080" w:type="dxa"/>
          </w:tcPr>
          <w:p w14:paraId="2878D952" w14:textId="77777777" w:rsidR="00EA4133" w:rsidRPr="00572A29" w:rsidRDefault="00EA4133">
            <w:pPr>
              <w:pStyle w:val="BodyText"/>
              <w:spacing w:before="0" w:line="280" w:lineRule="exact"/>
              <w:jc w:val="center"/>
              <w:rPr>
                <w:rFonts w:ascii="Arial" w:hAnsi="Arial"/>
                <w:b/>
                <w:color w:val="000000"/>
                <w:sz w:val="16"/>
                <w:szCs w:val="16"/>
                <w:lang w:val="en-CA"/>
              </w:rPr>
            </w:pPr>
          </w:p>
          <w:p w14:paraId="3F35EF7D" w14:textId="77777777" w:rsidR="00EA4133" w:rsidRPr="00572A29" w:rsidRDefault="00EA4133">
            <w:pPr>
              <w:pStyle w:val="BodyText"/>
              <w:spacing w:before="0" w:line="280" w:lineRule="exact"/>
              <w:jc w:val="center"/>
              <w:rPr>
                <w:rFonts w:ascii="Arial" w:hAnsi="Arial"/>
                <w:b/>
                <w:color w:val="000000"/>
                <w:sz w:val="16"/>
                <w:szCs w:val="16"/>
                <w:lang w:val="en-CA"/>
              </w:rPr>
            </w:pPr>
            <w:r w:rsidRPr="00572A29">
              <w:rPr>
                <w:rFonts w:ascii="Arial" w:hAnsi="Arial"/>
                <w:b/>
                <w:color w:val="000000"/>
                <w:sz w:val="16"/>
                <w:szCs w:val="16"/>
                <w:lang w:val="en-CA"/>
              </w:rPr>
              <w:t>Describe relations</w:t>
            </w:r>
            <w:r w:rsidR="004A1403" w:rsidRPr="00572A29">
              <w:rPr>
                <w:rFonts w:ascii="Arial" w:hAnsi="Arial"/>
                <w:b/>
                <w:color w:val="000000"/>
                <w:sz w:val="16"/>
                <w:szCs w:val="16"/>
                <w:lang w:val="en-CA"/>
              </w:rPr>
              <w:t>-</w:t>
            </w:r>
            <w:r w:rsidRPr="00572A29">
              <w:rPr>
                <w:rFonts w:ascii="Arial" w:hAnsi="Arial"/>
                <w:b/>
                <w:color w:val="000000"/>
                <w:sz w:val="16"/>
                <w:szCs w:val="16"/>
                <w:lang w:val="en-CA"/>
              </w:rPr>
              <w:t>hip to Issuer (2)</w:t>
            </w:r>
          </w:p>
        </w:tc>
      </w:tr>
      <w:tr w:rsidR="00A90670" w:rsidRPr="00572A29" w14:paraId="1058C970" w14:textId="77777777" w:rsidTr="00572A29">
        <w:trPr>
          <w:trHeight w:val="864"/>
        </w:trPr>
        <w:tc>
          <w:tcPr>
            <w:tcW w:w="1394" w:type="dxa"/>
          </w:tcPr>
          <w:p w14:paraId="6754299F" w14:textId="4CF0FB19" w:rsidR="00A90670" w:rsidRPr="00572A29" w:rsidRDefault="00422654" w:rsidP="000822F2">
            <w:pPr>
              <w:pStyle w:val="BodyText"/>
              <w:spacing w:line="280" w:lineRule="exact"/>
              <w:rPr>
                <w:rFonts w:ascii="Arial" w:hAnsi="Arial"/>
                <w:b/>
                <w:bCs/>
                <w:sz w:val="16"/>
                <w:szCs w:val="16"/>
                <w:lang w:val="en-CA"/>
              </w:rPr>
            </w:pPr>
            <w:r w:rsidRPr="00572A29">
              <w:rPr>
                <w:rFonts w:ascii="Arial" w:hAnsi="Arial"/>
                <w:b/>
                <w:bCs/>
                <w:sz w:val="16"/>
                <w:szCs w:val="16"/>
                <w:lang w:val="en-CA"/>
              </w:rPr>
              <w:t>TBD</w:t>
            </w:r>
          </w:p>
        </w:tc>
        <w:tc>
          <w:tcPr>
            <w:tcW w:w="1376" w:type="dxa"/>
          </w:tcPr>
          <w:p w14:paraId="22CDA602" w14:textId="77777777" w:rsidR="00A90670" w:rsidRPr="00572A29" w:rsidRDefault="00A90670">
            <w:pPr>
              <w:pStyle w:val="BodyText"/>
              <w:spacing w:before="0" w:line="280" w:lineRule="exact"/>
              <w:jc w:val="center"/>
              <w:rPr>
                <w:rFonts w:ascii="Arial" w:hAnsi="Arial"/>
                <w:b/>
                <w:sz w:val="16"/>
                <w:szCs w:val="16"/>
                <w:lang w:val="en-CA"/>
              </w:rPr>
            </w:pPr>
          </w:p>
        </w:tc>
        <w:tc>
          <w:tcPr>
            <w:tcW w:w="1192" w:type="dxa"/>
          </w:tcPr>
          <w:p w14:paraId="46666E1F" w14:textId="77777777" w:rsidR="00A90670" w:rsidRPr="00572A29" w:rsidRDefault="00A90670">
            <w:pPr>
              <w:pStyle w:val="BodyText"/>
              <w:spacing w:before="0" w:line="280" w:lineRule="exact"/>
              <w:jc w:val="center"/>
              <w:rPr>
                <w:rFonts w:ascii="Arial" w:hAnsi="Arial"/>
                <w:b/>
                <w:sz w:val="16"/>
                <w:szCs w:val="16"/>
                <w:lang w:val="en-CA"/>
              </w:rPr>
            </w:pPr>
          </w:p>
        </w:tc>
        <w:tc>
          <w:tcPr>
            <w:tcW w:w="1376" w:type="dxa"/>
          </w:tcPr>
          <w:p w14:paraId="629B7B78" w14:textId="77777777" w:rsidR="00A90670" w:rsidRPr="00572A29" w:rsidRDefault="00A90670">
            <w:pPr>
              <w:pStyle w:val="BodyText"/>
              <w:spacing w:before="0" w:line="280" w:lineRule="exact"/>
              <w:jc w:val="center"/>
              <w:rPr>
                <w:rFonts w:ascii="Arial" w:hAnsi="Arial"/>
                <w:b/>
                <w:sz w:val="16"/>
                <w:szCs w:val="16"/>
                <w:lang w:val="en-CA"/>
              </w:rPr>
            </w:pPr>
          </w:p>
        </w:tc>
        <w:tc>
          <w:tcPr>
            <w:tcW w:w="1340" w:type="dxa"/>
          </w:tcPr>
          <w:p w14:paraId="01DC8D21" w14:textId="77777777" w:rsidR="00A90670" w:rsidRPr="00572A29" w:rsidRDefault="00A90670">
            <w:pPr>
              <w:pStyle w:val="BodyText"/>
              <w:spacing w:before="0" w:line="280" w:lineRule="exact"/>
              <w:jc w:val="center"/>
              <w:rPr>
                <w:rFonts w:ascii="Arial" w:hAnsi="Arial"/>
                <w:b/>
                <w:sz w:val="16"/>
                <w:szCs w:val="16"/>
                <w:lang w:val="en-CA"/>
              </w:rPr>
            </w:pPr>
          </w:p>
        </w:tc>
        <w:tc>
          <w:tcPr>
            <w:tcW w:w="1440" w:type="dxa"/>
          </w:tcPr>
          <w:p w14:paraId="051ED900" w14:textId="77777777" w:rsidR="00A90670" w:rsidRPr="00572A29" w:rsidRDefault="00A90670">
            <w:pPr>
              <w:pStyle w:val="BodyText"/>
              <w:spacing w:before="0" w:line="280" w:lineRule="exact"/>
              <w:jc w:val="center"/>
              <w:rPr>
                <w:rFonts w:ascii="Arial" w:hAnsi="Arial"/>
                <w:b/>
                <w:sz w:val="16"/>
                <w:szCs w:val="16"/>
              </w:rPr>
            </w:pPr>
          </w:p>
        </w:tc>
        <w:tc>
          <w:tcPr>
            <w:tcW w:w="900" w:type="dxa"/>
          </w:tcPr>
          <w:p w14:paraId="0B777659" w14:textId="77777777" w:rsidR="00A90670" w:rsidRPr="00572A29" w:rsidRDefault="00A90670">
            <w:pPr>
              <w:pStyle w:val="BodyText"/>
              <w:spacing w:before="0" w:line="280" w:lineRule="exact"/>
              <w:jc w:val="center"/>
              <w:rPr>
                <w:rFonts w:ascii="Arial" w:hAnsi="Arial"/>
                <w:b/>
                <w:sz w:val="16"/>
                <w:szCs w:val="16"/>
                <w:lang w:val="en-CA"/>
              </w:rPr>
            </w:pPr>
          </w:p>
        </w:tc>
        <w:tc>
          <w:tcPr>
            <w:tcW w:w="1080" w:type="dxa"/>
          </w:tcPr>
          <w:p w14:paraId="0103F849" w14:textId="77777777" w:rsidR="00A90670" w:rsidRPr="00572A29" w:rsidRDefault="00A90670">
            <w:pPr>
              <w:pStyle w:val="BodyText"/>
              <w:spacing w:before="0" w:line="280" w:lineRule="exact"/>
              <w:jc w:val="center"/>
              <w:rPr>
                <w:rFonts w:ascii="Arial" w:hAnsi="Arial"/>
                <w:b/>
                <w:color w:val="000000"/>
                <w:sz w:val="16"/>
                <w:szCs w:val="16"/>
                <w:lang w:val="en-CA"/>
              </w:rPr>
            </w:pPr>
          </w:p>
        </w:tc>
      </w:tr>
    </w:tbl>
    <w:p w14:paraId="00863129" w14:textId="77777777" w:rsidR="00EA4133" w:rsidRPr="008003B9" w:rsidRDefault="00EA4133" w:rsidP="007332D5">
      <w:pPr>
        <w:pStyle w:val="FootnoteText"/>
        <w:spacing w:before="12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3D755B93"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332D5">
        <w:rPr>
          <w:rFonts w:ascii="Arial" w:hAnsi="Arial"/>
          <w:b/>
          <w:bCs/>
          <w:u w:val="single"/>
        </w:rPr>
        <w:t>Up to $3,000,000</w:t>
      </w:r>
      <w:r>
        <w:rPr>
          <w:rFonts w:ascii="Arial" w:hAnsi="Arial"/>
        </w:rPr>
        <w:t>.</w:t>
      </w:r>
    </w:p>
    <w:p w14:paraId="043CA625" w14:textId="77777777" w:rsidR="005F7663" w:rsidRDefault="00EA4133" w:rsidP="006539ED">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450BFC06" w14:textId="25BE9C81" w:rsidR="00EA4133" w:rsidRDefault="005F7663" w:rsidP="006539ED">
      <w:pPr>
        <w:pStyle w:val="BodyText"/>
        <w:tabs>
          <w:tab w:val="left" w:pos="1080"/>
          <w:tab w:val="left" w:pos="9180"/>
        </w:tabs>
        <w:ind w:left="1080" w:hanging="1080"/>
        <w:jc w:val="both"/>
        <w:rPr>
          <w:rFonts w:ascii="Arial" w:hAnsi="Arial"/>
        </w:rPr>
      </w:pPr>
      <w:r>
        <w:rPr>
          <w:rFonts w:ascii="Arial" w:hAnsi="Arial"/>
        </w:rPr>
        <w:tab/>
      </w:r>
      <w:r w:rsidR="006539ED" w:rsidRPr="006539ED">
        <w:rPr>
          <w:rFonts w:ascii="Arial" w:hAnsi="Arial"/>
          <w:b/>
          <w:bCs/>
          <w:u w:val="single"/>
        </w:rPr>
        <w:t>The Company intends to use the net proceeds from the Offering</w:t>
      </w:r>
      <w:r w:rsidR="00572A29">
        <w:rPr>
          <w:rFonts w:ascii="Arial" w:hAnsi="Arial"/>
          <w:b/>
          <w:bCs/>
          <w:u w:val="single"/>
        </w:rPr>
        <w:t xml:space="preserve"> (as further defined herein)</w:t>
      </w:r>
      <w:r w:rsidR="006539ED" w:rsidRPr="006539ED">
        <w:rPr>
          <w:rFonts w:ascii="Arial" w:hAnsi="Arial"/>
          <w:b/>
          <w:bCs/>
          <w:u w:val="single"/>
        </w:rPr>
        <w:t xml:space="preserve"> to fund on-going exploration and development at the Company’s Albert Lake Project and the Gochager Lake Project which are located in Saskatchewan, Canada</w:t>
      </w:r>
      <w:r w:rsidR="006539ED">
        <w:rPr>
          <w:rFonts w:ascii="Arial" w:hAnsi="Arial"/>
          <w:b/>
          <w:bCs/>
          <w:u w:val="single"/>
        </w:rPr>
        <w:t>. All Qualifying Expenditures will be renounced in favour of the subscribers of the Charity FT Units (as further defined herein) or Flow-Through Units (as further defined herein) effective December 31, 2023.</w:t>
      </w:r>
    </w:p>
    <w:p w14:paraId="77D0554F" w14:textId="543E77CC"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7332D5">
        <w:rPr>
          <w:rFonts w:ascii="Arial" w:hAnsi="Arial"/>
          <w:b/>
          <w:bCs/>
          <w:u w:val="single"/>
        </w:rPr>
        <w:t>N/A</w:t>
      </w:r>
      <w:r>
        <w:rPr>
          <w:rFonts w:ascii="Arial" w:hAnsi="Arial"/>
        </w:rPr>
        <w:t>.</w:t>
      </w:r>
    </w:p>
    <w:p w14:paraId="0E659D75" w14:textId="2B8A36D4"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6539ED">
        <w:rPr>
          <w:rFonts w:ascii="Arial" w:hAnsi="Arial"/>
        </w:rPr>
        <w:t xml:space="preserve"> </w:t>
      </w:r>
      <w:r w:rsidR="006539ED">
        <w:rPr>
          <w:rFonts w:ascii="Arial" w:hAnsi="Arial"/>
          <w:b/>
          <w:bCs/>
          <w:u w:val="single"/>
        </w:rPr>
        <w:t>N/A</w:t>
      </w:r>
    </w:p>
    <w:p w14:paraId="6B563864" w14:textId="4A56E874" w:rsidR="00EA4133" w:rsidRDefault="00EA4133" w:rsidP="000822F2">
      <w:pPr>
        <w:pStyle w:val="BodyText"/>
        <w:numPr>
          <w:ilvl w:val="0"/>
          <w:numId w:val="10"/>
        </w:numPr>
        <w:tabs>
          <w:tab w:val="left" w:pos="9180"/>
        </w:tabs>
        <w:spacing w:after="240"/>
        <w:rPr>
          <w:rFonts w:ascii="Arial" w:hAnsi="Arial"/>
        </w:rPr>
      </w:pPr>
      <w:r>
        <w:rPr>
          <w:rFonts w:ascii="Arial" w:hAnsi="Arial"/>
        </w:rPr>
        <w:t>Description of securities to be issued:</w:t>
      </w:r>
      <w:r w:rsidR="007332D5">
        <w:rPr>
          <w:rFonts w:ascii="Arial" w:hAnsi="Arial"/>
        </w:rPr>
        <w:t xml:space="preserve"> </w:t>
      </w:r>
    </w:p>
    <w:p w14:paraId="62D6FD72" w14:textId="77777777" w:rsidR="00E66456" w:rsidRPr="00572A29" w:rsidRDefault="00E66456" w:rsidP="00117090">
      <w:pPr>
        <w:pStyle w:val="BodyText"/>
        <w:tabs>
          <w:tab w:val="left" w:pos="1080"/>
          <w:tab w:val="left" w:pos="1440"/>
          <w:tab w:val="left" w:pos="2160"/>
          <w:tab w:val="left" w:pos="9180"/>
        </w:tabs>
        <w:jc w:val="both"/>
        <w:rPr>
          <w:rFonts w:ascii="Arial" w:hAnsi="Arial"/>
          <w:sz w:val="22"/>
          <w:szCs w:val="18"/>
        </w:rPr>
      </w:pPr>
      <w:r w:rsidRPr="00572A29">
        <w:rPr>
          <w:rFonts w:ascii="Arial" w:hAnsi="Arial"/>
          <w:sz w:val="22"/>
          <w:szCs w:val="18"/>
        </w:rPr>
        <w:t>Non-brokered private placement (the “</w:t>
      </w:r>
      <w:r w:rsidRPr="00572A29">
        <w:rPr>
          <w:rFonts w:ascii="Arial" w:hAnsi="Arial"/>
          <w:b/>
          <w:bCs/>
          <w:sz w:val="22"/>
          <w:szCs w:val="18"/>
        </w:rPr>
        <w:t>Offering</w:t>
      </w:r>
      <w:r w:rsidRPr="00572A29">
        <w:rPr>
          <w:rFonts w:ascii="Arial" w:hAnsi="Arial"/>
          <w:sz w:val="22"/>
          <w:szCs w:val="18"/>
        </w:rPr>
        <w:t>”) of any combination of: (i) charity flow-through units (the “</w:t>
      </w:r>
      <w:r w:rsidRPr="00572A29">
        <w:rPr>
          <w:rFonts w:ascii="Arial" w:hAnsi="Arial"/>
          <w:b/>
          <w:bCs/>
          <w:sz w:val="22"/>
          <w:szCs w:val="18"/>
        </w:rPr>
        <w:t>Charity FT Units</w:t>
      </w:r>
      <w:r w:rsidRPr="00572A29">
        <w:rPr>
          <w:rFonts w:ascii="Arial" w:hAnsi="Arial"/>
          <w:sz w:val="22"/>
          <w:szCs w:val="18"/>
        </w:rPr>
        <w:t>”); (ii) flow-through units (the “</w:t>
      </w:r>
      <w:r w:rsidRPr="00572A29">
        <w:rPr>
          <w:rFonts w:ascii="Arial" w:hAnsi="Arial"/>
          <w:b/>
          <w:bCs/>
          <w:sz w:val="22"/>
          <w:szCs w:val="18"/>
        </w:rPr>
        <w:t>FT Units</w:t>
      </w:r>
      <w:r w:rsidRPr="00572A29">
        <w:rPr>
          <w:rFonts w:ascii="Arial" w:hAnsi="Arial"/>
          <w:sz w:val="22"/>
          <w:szCs w:val="18"/>
        </w:rPr>
        <w:t>”); and (iii) hard dollar units (the “</w:t>
      </w:r>
      <w:r w:rsidRPr="00572A29">
        <w:rPr>
          <w:rFonts w:ascii="Arial" w:hAnsi="Arial"/>
          <w:b/>
          <w:bCs/>
          <w:sz w:val="22"/>
          <w:szCs w:val="18"/>
        </w:rPr>
        <w:t>HD Units</w:t>
      </w:r>
      <w:r w:rsidRPr="00572A29">
        <w:rPr>
          <w:rFonts w:ascii="Arial" w:hAnsi="Arial"/>
          <w:sz w:val="22"/>
          <w:szCs w:val="18"/>
        </w:rPr>
        <w:t>”) of the Company.</w:t>
      </w:r>
    </w:p>
    <w:p w14:paraId="6CC5F180" w14:textId="77777777" w:rsidR="00E66456" w:rsidRPr="00572A29" w:rsidRDefault="00E66456" w:rsidP="00117090">
      <w:pPr>
        <w:pStyle w:val="BodyText"/>
        <w:tabs>
          <w:tab w:val="left" w:pos="1080"/>
          <w:tab w:val="left" w:pos="1440"/>
          <w:tab w:val="left" w:pos="2160"/>
          <w:tab w:val="left" w:pos="9180"/>
        </w:tabs>
        <w:jc w:val="both"/>
        <w:rPr>
          <w:rFonts w:ascii="Arial" w:hAnsi="Arial"/>
          <w:sz w:val="22"/>
          <w:szCs w:val="18"/>
        </w:rPr>
      </w:pPr>
      <w:r w:rsidRPr="00572A29">
        <w:rPr>
          <w:rFonts w:ascii="Arial" w:hAnsi="Arial"/>
          <w:sz w:val="22"/>
          <w:szCs w:val="18"/>
        </w:rPr>
        <w:t>Each Charity FT Unit shall consist of one charity flow-through common share (a “</w:t>
      </w:r>
      <w:r w:rsidRPr="00572A29">
        <w:rPr>
          <w:rFonts w:ascii="Arial" w:hAnsi="Arial"/>
          <w:b/>
          <w:bCs/>
          <w:sz w:val="22"/>
          <w:szCs w:val="18"/>
        </w:rPr>
        <w:t>Charity FT Share</w:t>
      </w:r>
      <w:r w:rsidRPr="00572A29">
        <w:rPr>
          <w:rFonts w:ascii="Arial" w:hAnsi="Arial"/>
          <w:sz w:val="22"/>
          <w:szCs w:val="18"/>
        </w:rPr>
        <w:t>“) and one transferable common share (a “</w:t>
      </w:r>
      <w:r w:rsidRPr="00572A29">
        <w:rPr>
          <w:rFonts w:ascii="Arial" w:hAnsi="Arial"/>
          <w:b/>
          <w:bCs/>
          <w:sz w:val="22"/>
          <w:szCs w:val="18"/>
        </w:rPr>
        <w:t>Common Share</w:t>
      </w:r>
      <w:r w:rsidRPr="00572A29">
        <w:rPr>
          <w:rFonts w:ascii="Arial" w:hAnsi="Arial"/>
          <w:sz w:val="22"/>
          <w:szCs w:val="18"/>
        </w:rPr>
        <w:t>”) purchase warrant (a “</w:t>
      </w:r>
      <w:r w:rsidRPr="00572A29">
        <w:rPr>
          <w:rFonts w:ascii="Arial" w:hAnsi="Arial"/>
          <w:b/>
          <w:bCs/>
          <w:sz w:val="22"/>
          <w:szCs w:val="18"/>
        </w:rPr>
        <w:t>Warrant</w:t>
      </w:r>
      <w:r w:rsidRPr="00572A29">
        <w:rPr>
          <w:rFonts w:ascii="Arial" w:hAnsi="Arial"/>
          <w:sz w:val="22"/>
          <w:szCs w:val="18"/>
        </w:rPr>
        <w:t>“) that shall be exercisable into one Common Share (“</w:t>
      </w:r>
      <w:r w:rsidRPr="00572A29">
        <w:rPr>
          <w:rFonts w:ascii="Arial" w:hAnsi="Arial"/>
          <w:b/>
          <w:bCs/>
          <w:sz w:val="22"/>
          <w:szCs w:val="18"/>
        </w:rPr>
        <w:t>Warrant Share</w:t>
      </w:r>
      <w:r w:rsidRPr="00572A29">
        <w:rPr>
          <w:rFonts w:ascii="Arial" w:hAnsi="Arial"/>
          <w:sz w:val="22"/>
          <w:szCs w:val="18"/>
        </w:rPr>
        <w:t xml:space="preserve">”) for a period of 24 months from issuance at an exercise price of C$0.20. </w:t>
      </w:r>
    </w:p>
    <w:p w14:paraId="00CEBBB5" w14:textId="77777777" w:rsidR="00E66456" w:rsidRPr="00572A29" w:rsidRDefault="00E66456" w:rsidP="00117090">
      <w:pPr>
        <w:pStyle w:val="BodyText"/>
        <w:tabs>
          <w:tab w:val="left" w:pos="1080"/>
          <w:tab w:val="left" w:pos="1440"/>
          <w:tab w:val="left" w:pos="2160"/>
          <w:tab w:val="left" w:pos="9180"/>
        </w:tabs>
        <w:jc w:val="both"/>
        <w:rPr>
          <w:rFonts w:ascii="Arial" w:hAnsi="Arial"/>
          <w:sz w:val="22"/>
          <w:szCs w:val="18"/>
        </w:rPr>
      </w:pPr>
      <w:r w:rsidRPr="00572A29">
        <w:rPr>
          <w:rFonts w:ascii="Arial" w:hAnsi="Arial"/>
          <w:sz w:val="22"/>
          <w:szCs w:val="18"/>
        </w:rPr>
        <w:t>Each FT Unit shall consist of one flow-through Common Share (a “</w:t>
      </w:r>
      <w:r w:rsidRPr="00572A29">
        <w:rPr>
          <w:rFonts w:ascii="Arial" w:hAnsi="Arial"/>
          <w:b/>
          <w:bCs/>
          <w:sz w:val="22"/>
          <w:szCs w:val="18"/>
        </w:rPr>
        <w:t>FT Share</w:t>
      </w:r>
      <w:r w:rsidRPr="00572A29">
        <w:rPr>
          <w:rFonts w:ascii="Arial" w:hAnsi="Arial"/>
          <w:sz w:val="22"/>
          <w:szCs w:val="18"/>
        </w:rPr>
        <w:t>“) and one-half of a transferable Common Share purchase warrant (the “</w:t>
      </w:r>
      <w:r w:rsidRPr="00572A29">
        <w:rPr>
          <w:rFonts w:ascii="Arial" w:hAnsi="Arial"/>
          <w:b/>
          <w:bCs/>
          <w:sz w:val="22"/>
          <w:szCs w:val="18"/>
        </w:rPr>
        <w:t>Unit</w:t>
      </w:r>
      <w:r w:rsidRPr="00572A29">
        <w:rPr>
          <w:rFonts w:ascii="Arial" w:hAnsi="Arial"/>
          <w:sz w:val="22"/>
          <w:szCs w:val="18"/>
        </w:rPr>
        <w:t xml:space="preserve"> </w:t>
      </w:r>
      <w:r w:rsidRPr="00572A29">
        <w:rPr>
          <w:rFonts w:ascii="Arial" w:hAnsi="Arial"/>
          <w:b/>
          <w:bCs/>
          <w:sz w:val="22"/>
          <w:szCs w:val="18"/>
        </w:rPr>
        <w:t>Warrant</w:t>
      </w:r>
      <w:r w:rsidRPr="00572A29">
        <w:rPr>
          <w:rFonts w:ascii="Arial" w:hAnsi="Arial"/>
          <w:sz w:val="22"/>
          <w:szCs w:val="18"/>
        </w:rPr>
        <w:t>”), with one whole Unit Warrant exercisable into a Warrant Share for 24 months from issuance at an exercise price of C$0.23.</w:t>
      </w:r>
    </w:p>
    <w:p w14:paraId="03208422" w14:textId="7835FBB9" w:rsidR="00E66456" w:rsidRPr="00E66456" w:rsidRDefault="00E66456" w:rsidP="00572A29">
      <w:pPr>
        <w:pStyle w:val="BodyText"/>
        <w:tabs>
          <w:tab w:val="left" w:pos="1080"/>
          <w:tab w:val="left" w:pos="1440"/>
          <w:tab w:val="left" w:pos="2160"/>
          <w:tab w:val="left" w:pos="9180"/>
        </w:tabs>
        <w:jc w:val="both"/>
      </w:pPr>
      <w:r w:rsidRPr="00572A29">
        <w:rPr>
          <w:rFonts w:ascii="Arial" w:hAnsi="Arial"/>
          <w:sz w:val="22"/>
          <w:szCs w:val="18"/>
        </w:rPr>
        <w:t xml:space="preserve">Each HD Unit shall consist of one Common Share and one Warrant. The Warrant </w:t>
      </w:r>
      <w:r w:rsidR="00F549FB">
        <w:rPr>
          <w:rFonts w:ascii="Arial" w:hAnsi="Arial"/>
          <w:sz w:val="22"/>
          <w:szCs w:val="18"/>
        </w:rPr>
        <w:t xml:space="preserve">is </w:t>
      </w:r>
      <w:r w:rsidR="00F549FB" w:rsidRPr="00572A29">
        <w:rPr>
          <w:rFonts w:ascii="Arial" w:hAnsi="Arial"/>
          <w:sz w:val="22"/>
          <w:szCs w:val="18"/>
        </w:rPr>
        <w:t>exercisable</w:t>
      </w:r>
      <w:r w:rsidRPr="00572A29">
        <w:rPr>
          <w:rFonts w:ascii="Arial" w:hAnsi="Arial"/>
          <w:sz w:val="22"/>
          <w:szCs w:val="18"/>
        </w:rPr>
        <w:t xml:space="preserve"> </w:t>
      </w:r>
      <w:r w:rsidR="00F549FB">
        <w:rPr>
          <w:rFonts w:ascii="Arial" w:hAnsi="Arial"/>
          <w:sz w:val="22"/>
          <w:szCs w:val="18"/>
        </w:rPr>
        <w:t>at a price of</w:t>
      </w:r>
      <w:r w:rsidRPr="00572A29">
        <w:rPr>
          <w:rFonts w:ascii="Arial" w:hAnsi="Arial"/>
          <w:sz w:val="22"/>
          <w:szCs w:val="18"/>
        </w:rPr>
        <w:t xml:space="preserve"> $0.20 for 24 months from date of issuance.</w:t>
      </w:r>
    </w:p>
    <w:p w14:paraId="1F789528" w14:textId="77777777" w:rsidR="00E66456" w:rsidRPr="00E66456" w:rsidRDefault="00E66456" w:rsidP="00E66456"/>
    <w:tbl>
      <w:tblPr>
        <w:tblStyle w:val="TableGrid"/>
        <w:tblW w:w="9720" w:type="dxa"/>
        <w:tblInd w:w="108" w:type="dxa"/>
        <w:tblLook w:val="04A0" w:firstRow="1" w:lastRow="0" w:firstColumn="1" w:lastColumn="0" w:noHBand="0" w:noVBand="1"/>
      </w:tblPr>
      <w:tblGrid>
        <w:gridCol w:w="1870"/>
        <w:gridCol w:w="821"/>
        <w:gridCol w:w="999"/>
        <w:gridCol w:w="1620"/>
        <w:gridCol w:w="1440"/>
        <w:gridCol w:w="2970"/>
      </w:tblGrid>
      <w:tr w:rsidR="00A522D6" w:rsidRPr="00E66456" w14:paraId="4ED5BB0D" w14:textId="77777777" w:rsidTr="00D902A8">
        <w:tc>
          <w:tcPr>
            <w:tcW w:w="1870" w:type="dxa"/>
            <w:shd w:val="clear" w:color="auto" w:fill="D9D9D9" w:themeFill="background1" w:themeFillShade="D9"/>
          </w:tcPr>
          <w:p w14:paraId="497CE2F0" w14:textId="77777777"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 xml:space="preserve">(a) </w:t>
            </w:r>
          </w:p>
          <w:p w14:paraId="4B32A405" w14:textId="39493B83"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Class</w:t>
            </w:r>
          </w:p>
        </w:tc>
        <w:tc>
          <w:tcPr>
            <w:tcW w:w="821" w:type="dxa"/>
            <w:shd w:val="clear" w:color="auto" w:fill="D9D9D9" w:themeFill="background1" w:themeFillShade="D9"/>
          </w:tcPr>
          <w:p w14:paraId="3C8C762D" w14:textId="77777777"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 xml:space="preserve">(b) </w:t>
            </w:r>
          </w:p>
          <w:p w14:paraId="286422BF" w14:textId="571ADC90"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Number</w:t>
            </w:r>
          </w:p>
        </w:tc>
        <w:tc>
          <w:tcPr>
            <w:tcW w:w="999" w:type="dxa"/>
            <w:shd w:val="clear" w:color="auto" w:fill="D9D9D9" w:themeFill="background1" w:themeFillShade="D9"/>
          </w:tcPr>
          <w:p w14:paraId="1F8DD39B" w14:textId="77777777"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 xml:space="preserve">(c) </w:t>
            </w:r>
          </w:p>
          <w:p w14:paraId="70EBC39E" w14:textId="739E6B78"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Price Per security</w:t>
            </w:r>
          </w:p>
        </w:tc>
        <w:tc>
          <w:tcPr>
            <w:tcW w:w="1620" w:type="dxa"/>
            <w:shd w:val="clear" w:color="auto" w:fill="D9D9D9" w:themeFill="background1" w:themeFillShade="D9"/>
          </w:tcPr>
          <w:p w14:paraId="368D1D6A" w14:textId="77777777"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 xml:space="preserve">(d) </w:t>
            </w:r>
          </w:p>
          <w:p w14:paraId="5F0A0615" w14:textId="1EFBA246"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Voting rights</w:t>
            </w:r>
          </w:p>
        </w:tc>
        <w:tc>
          <w:tcPr>
            <w:tcW w:w="1440" w:type="dxa"/>
            <w:shd w:val="clear" w:color="auto" w:fill="D9D9D9" w:themeFill="background1" w:themeFillShade="D9"/>
          </w:tcPr>
          <w:p w14:paraId="6CEB6B0F" w14:textId="5547480D"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Unit Description</w:t>
            </w:r>
          </w:p>
        </w:tc>
        <w:tc>
          <w:tcPr>
            <w:tcW w:w="2970" w:type="dxa"/>
            <w:shd w:val="clear" w:color="auto" w:fill="D9D9D9" w:themeFill="background1" w:themeFillShade="D9"/>
          </w:tcPr>
          <w:p w14:paraId="1F403300" w14:textId="261B60A2" w:rsidR="000822F2" w:rsidRPr="00E66456" w:rsidRDefault="000822F2" w:rsidP="000822F2">
            <w:pPr>
              <w:pStyle w:val="BodyText"/>
              <w:tabs>
                <w:tab w:val="left" w:pos="1080"/>
                <w:tab w:val="left" w:pos="1440"/>
                <w:tab w:val="left" w:pos="2160"/>
                <w:tab w:val="left" w:pos="9180"/>
              </w:tabs>
              <w:spacing w:before="0"/>
              <w:jc w:val="center"/>
              <w:rPr>
                <w:rFonts w:ascii="Arial" w:hAnsi="Arial"/>
                <w:b/>
                <w:bCs/>
                <w:sz w:val="16"/>
                <w:szCs w:val="16"/>
              </w:rPr>
            </w:pPr>
            <w:r w:rsidRPr="00E66456">
              <w:rPr>
                <w:rFonts w:ascii="Arial" w:hAnsi="Arial"/>
                <w:b/>
                <w:bCs/>
                <w:sz w:val="16"/>
                <w:szCs w:val="16"/>
              </w:rPr>
              <w:t>Underlying Securities of the Units to be issued</w:t>
            </w:r>
          </w:p>
        </w:tc>
      </w:tr>
      <w:tr w:rsidR="00A522D6" w:rsidRPr="00E66456" w14:paraId="7A8609E9" w14:textId="77777777" w:rsidTr="00D902A8">
        <w:tc>
          <w:tcPr>
            <w:tcW w:w="1870" w:type="dxa"/>
            <w:vAlign w:val="center"/>
          </w:tcPr>
          <w:p w14:paraId="3C786527" w14:textId="2D489D74" w:rsidR="000822F2"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Common Shares</w:t>
            </w:r>
            <w:r w:rsidRPr="00E66456">
              <w:rPr>
                <w:rFonts w:ascii="Arial" w:hAnsi="Arial"/>
                <w:sz w:val="16"/>
                <w:szCs w:val="16"/>
                <w:vertAlign w:val="superscript"/>
              </w:rPr>
              <w:t>(1)</w:t>
            </w:r>
          </w:p>
        </w:tc>
        <w:tc>
          <w:tcPr>
            <w:tcW w:w="821" w:type="dxa"/>
            <w:vAlign w:val="center"/>
          </w:tcPr>
          <w:p w14:paraId="7875B869" w14:textId="70CB25DC" w:rsidR="000822F2" w:rsidRPr="00E66456" w:rsidRDefault="000822F2"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TBD</w:t>
            </w:r>
          </w:p>
        </w:tc>
        <w:tc>
          <w:tcPr>
            <w:tcW w:w="999" w:type="dxa"/>
            <w:vAlign w:val="center"/>
          </w:tcPr>
          <w:p w14:paraId="1C99EC51" w14:textId="0D53A9EA" w:rsidR="000822F2" w:rsidRPr="00E66456" w:rsidRDefault="000822F2"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$0.19</w:t>
            </w:r>
          </w:p>
        </w:tc>
        <w:tc>
          <w:tcPr>
            <w:tcW w:w="1620" w:type="dxa"/>
            <w:vAlign w:val="center"/>
          </w:tcPr>
          <w:p w14:paraId="4F34C4D8" w14:textId="08795F93" w:rsidR="000822F2" w:rsidRPr="00E66456" w:rsidRDefault="000822F2"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 xml:space="preserve">One </w:t>
            </w:r>
            <w:r w:rsidR="00572A29">
              <w:rPr>
                <w:rFonts w:ascii="Arial" w:hAnsi="Arial"/>
                <w:sz w:val="16"/>
                <w:szCs w:val="16"/>
              </w:rPr>
              <w:t xml:space="preserve">(1) </w:t>
            </w:r>
            <w:r w:rsidRPr="00E66456">
              <w:rPr>
                <w:rFonts w:ascii="Arial" w:hAnsi="Arial"/>
                <w:sz w:val="16"/>
                <w:szCs w:val="16"/>
              </w:rPr>
              <w:t xml:space="preserve">vote per common share </w:t>
            </w:r>
          </w:p>
        </w:tc>
        <w:tc>
          <w:tcPr>
            <w:tcW w:w="1440" w:type="dxa"/>
            <w:vAlign w:val="center"/>
          </w:tcPr>
          <w:p w14:paraId="58111EBF" w14:textId="6FB900AC" w:rsidR="000822F2" w:rsidRPr="00E66456" w:rsidRDefault="000822F2"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Charity FT Units</w:t>
            </w:r>
          </w:p>
        </w:tc>
        <w:tc>
          <w:tcPr>
            <w:tcW w:w="2970" w:type="dxa"/>
            <w:vAlign w:val="center"/>
          </w:tcPr>
          <w:p w14:paraId="7EA0C186" w14:textId="37F2662A" w:rsidR="000822F2" w:rsidRPr="00E66456" w:rsidRDefault="000822F2" w:rsidP="00D902A8">
            <w:pPr>
              <w:pStyle w:val="BodyText"/>
              <w:tabs>
                <w:tab w:val="left" w:pos="1080"/>
                <w:tab w:val="left" w:pos="1440"/>
                <w:tab w:val="left" w:pos="2160"/>
                <w:tab w:val="left" w:pos="9180"/>
              </w:tabs>
              <w:spacing w:before="120" w:after="120"/>
              <w:rPr>
                <w:rFonts w:ascii="Arial" w:hAnsi="Arial"/>
                <w:sz w:val="16"/>
                <w:szCs w:val="16"/>
              </w:rPr>
            </w:pPr>
            <w:r w:rsidRPr="00E66456">
              <w:rPr>
                <w:rFonts w:ascii="Arial" w:hAnsi="Arial"/>
                <w:sz w:val="16"/>
                <w:szCs w:val="16"/>
              </w:rPr>
              <w:t>One</w:t>
            </w:r>
            <w:r w:rsidR="00572A29">
              <w:rPr>
                <w:rFonts w:ascii="Arial" w:hAnsi="Arial"/>
                <w:sz w:val="16"/>
                <w:szCs w:val="16"/>
              </w:rPr>
              <w:t xml:space="preserve"> (1)</w:t>
            </w:r>
            <w:r w:rsidRPr="00E66456">
              <w:rPr>
                <w:rFonts w:ascii="Arial" w:hAnsi="Arial"/>
                <w:sz w:val="16"/>
                <w:szCs w:val="16"/>
              </w:rPr>
              <w:t xml:space="preserve"> Charity Flow-Through common share and one</w:t>
            </w:r>
            <w:r w:rsidR="00572A29">
              <w:rPr>
                <w:rFonts w:ascii="Arial" w:hAnsi="Arial"/>
                <w:sz w:val="16"/>
                <w:szCs w:val="16"/>
              </w:rPr>
              <w:t xml:space="preserve"> (1)</w:t>
            </w:r>
            <w:r w:rsidRPr="00E66456">
              <w:rPr>
                <w:rFonts w:ascii="Arial" w:hAnsi="Arial"/>
                <w:sz w:val="16"/>
                <w:szCs w:val="16"/>
              </w:rPr>
              <w:t xml:space="preserve"> common share purchase warrant</w:t>
            </w:r>
          </w:p>
        </w:tc>
      </w:tr>
      <w:tr w:rsidR="00A522D6" w:rsidRPr="00E66456" w14:paraId="6E47E392" w14:textId="77777777" w:rsidTr="00D902A8">
        <w:tc>
          <w:tcPr>
            <w:tcW w:w="1870" w:type="dxa"/>
            <w:vAlign w:val="center"/>
          </w:tcPr>
          <w:p w14:paraId="704D8A88" w14:textId="64D03FC7"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Common Shares</w:t>
            </w:r>
            <w:r w:rsidRPr="00E66456">
              <w:rPr>
                <w:rFonts w:ascii="Arial" w:hAnsi="Arial"/>
                <w:sz w:val="16"/>
                <w:szCs w:val="16"/>
                <w:vertAlign w:val="superscript"/>
              </w:rPr>
              <w:t>(1)</w:t>
            </w:r>
          </w:p>
        </w:tc>
        <w:tc>
          <w:tcPr>
            <w:tcW w:w="821" w:type="dxa"/>
            <w:vAlign w:val="center"/>
          </w:tcPr>
          <w:p w14:paraId="03371F11" w14:textId="71CD694C"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TBD</w:t>
            </w:r>
          </w:p>
        </w:tc>
        <w:tc>
          <w:tcPr>
            <w:tcW w:w="999" w:type="dxa"/>
            <w:vAlign w:val="center"/>
          </w:tcPr>
          <w:p w14:paraId="52BB6F4D" w14:textId="5DAA219D"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$0.155</w:t>
            </w:r>
          </w:p>
        </w:tc>
        <w:tc>
          <w:tcPr>
            <w:tcW w:w="1620" w:type="dxa"/>
            <w:vAlign w:val="center"/>
          </w:tcPr>
          <w:p w14:paraId="10DB512D" w14:textId="42DC46A4"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 xml:space="preserve">One </w:t>
            </w:r>
            <w:r w:rsidR="00572A29">
              <w:rPr>
                <w:rFonts w:ascii="Arial" w:hAnsi="Arial"/>
                <w:sz w:val="16"/>
                <w:szCs w:val="16"/>
              </w:rPr>
              <w:t xml:space="preserve">(1) </w:t>
            </w:r>
            <w:r w:rsidRPr="00E66456">
              <w:rPr>
                <w:rFonts w:ascii="Arial" w:hAnsi="Arial"/>
                <w:sz w:val="16"/>
                <w:szCs w:val="16"/>
              </w:rPr>
              <w:t xml:space="preserve">vote per common share </w:t>
            </w:r>
          </w:p>
        </w:tc>
        <w:tc>
          <w:tcPr>
            <w:tcW w:w="1440" w:type="dxa"/>
            <w:vAlign w:val="center"/>
          </w:tcPr>
          <w:p w14:paraId="4BD8640F" w14:textId="02981117"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FT Units</w:t>
            </w:r>
          </w:p>
        </w:tc>
        <w:tc>
          <w:tcPr>
            <w:tcW w:w="2970" w:type="dxa"/>
            <w:vAlign w:val="center"/>
          </w:tcPr>
          <w:p w14:paraId="0CC98B9F" w14:textId="118A543A" w:rsidR="00A522D6" w:rsidRPr="00E66456" w:rsidRDefault="00A522D6" w:rsidP="00D902A8">
            <w:pPr>
              <w:pStyle w:val="BodyText"/>
              <w:tabs>
                <w:tab w:val="left" w:pos="1080"/>
                <w:tab w:val="left" w:pos="1440"/>
                <w:tab w:val="left" w:pos="2160"/>
                <w:tab w:val="left" w:pos="9180"/>
              </w:tabs>
              <w:spacing w:before="120" w:after="120"/>
              <w:rPr>
                <w:rFonts w:ascii="Arial" w:hAnsi="Arial"/>
                <w:sz w:val="16"/>
                <w:szCs w:val="16"/>
              </w:rPr>
            </w:pPr>
            <w:r w:rsidRPr="00E66456">
              <w:rPr>
                <w:rFonts w:ascii="Arial" w:hAnsi="Arial"/>
                <w:sz w:val="16"/>
                <w:szCs w:val="16"/>
              </w:rPr>
              <w:t xml:space="preserve">One </w:t>
            </w:r>
            <w:r w:rsidR="00572A29">
              <w:rPr>
                <w:rFonts w:ascii="Arial" w:hAnsi="Arial"/>
                <w:sz w:val="16"/>
                <w:szCs w:val="16"/>
              </w:rPr>
              <w:t xml:space="preserve">(1) </w:t>
            </w:r>
            <w:r w:rsidRPr="00E66456">
              <w:rPr>
                <w:rFonts w:ascii="Arial" w:hAnsi="Arial"/>
                <w:sz w:val="16"/>
                <w:szCs w:val="16"/>
              </w:rPr>
              <w:t xml:space="preserve">flow-through common share and one-half of </w:t>
            </w:r>
            <w:r w:rsidR="00572A29">
              <w:rPr>
                <w:rFonts w:ascii="Arial" w:hAnsi="Arial"/>
                <w:sz w:val="16"/>
                <w:szCs w:val="16"/>
              </w:rPr>
              <w:t>one (1)</w:t>
            </w:r>
            <w:r w:rsidRPr="00E66456">
              <w:rPr>
                <w:rFonts w:ascii="Arial" w:hAnsi="Arial"/>
                <w:sz w:val="16"/>
                <w:szCs w:val="16"/>
              </w:rPr>
              <w:t xml:space="preserve"> common share purchase warrant</w:t>
            </w:r>
          </w:p>
        </w:tc>
      </w:tr>
      <w:tr w:rsidR="00A522D6" w:rsidRPr="00E66456" w14:paraId="16DA04B8" w14:textId="77777777" w:rsidTr="00D902A8">
        <w:tc>
          <w:tcPr>
            <w:tcW w:w="1870" w:type="dxa"/>
            <w:vAlign w:val="center"/>
          </w:tcPr>
          <w:p w14:paraId="4C3FCB7D" w14:textId="7A89A9FC"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Common Shares</w:t>
            </w:r>
            <w:r w:rsidR="00E66456" w:rsidRPr="00E66456">
              <w:rPr>
                <w:rFonts w:ascii="Arial" w:hAnsi="Arial"/>
                <w:sz w:val="16"/>
                <w:szCs w:val="16"/>
                <w:vertAlign w:val="superscript"/>
              </w:rPr>
              <w:t xml:space="preserve"> </w:t>
            </w:r>
            <w:r w:rsidRPr="00E66456">
              <w:rPr>
                <w:rFonts w:ascii="Arial" w:hAnsi="Arial"/>
                <w:sz w:val="16"/>
                <w:szCs w:val="16"/>
                <w:vertAlign w:val="superscript"/>
              </w:rPr>
              <w:t>(2</w:t>
            </w:r>
            <w:r w:rsidR="00033F9C">
              <w:rPr>
                <w:rFonts w:ascii="Arial" w:hAnsi="Arial"/>
                <w:sz w:val="16"/>
                <w:szCs w:val="16"/>
                <w:vertAlign w:val="superscript"/>
              </w:rPr>
              <w:t>)</w:t>
            </w:r>
          </w:p>
        </w:tc>
        <w:tc>
          <w:tcPr>
            <w:tcW w:w="821" w:type="dxa"/>
            <w:vAlign w:val="center"/>
          </w:tcPr>
          <w:p w14:paraId="56F24F8C" w14:textId="69C88268"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TBD</w:t>
            </w:r>
          </w:p>
        </w:tc>
        <w:tc>
          <w:tcPr>
            <w:tcW w:w="999" w:type="dxa"/>
            <w:vAlign w:val="center"/>
          </w:tcPr>
          <w:p w14:paraId="380B046B" w14:textId="62D8794C"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$0.135</w:t>
            </w:r>
          </w:p>
        </w:tc>
        <w:tc>
          <w:tcPr>
            <w:tcW w:w="1620" w:type="dxa"/>
            <w:vAlign w:val="center"/>
          </w:tcPr>
          <w:p w14:paraId="6D970D11" w14:textId="5FBDBB72" w:rsidR="00A522D6" w:rsidRPr="00E66456" w:rsidRDefault="00A522D6" w:rsidP="00D902A8">
            <w:pPr>
              <w:pStyle w:val="BodyText"/>
              <w:tabs>
                <w:tab w:val="left" w:pos="1080"/>
                <w:tab w:val="left" w:pos="1440"/>
                <w:tab w:val="left" w:pos="2160"/>
                <w:tab w:val="left" w:pos="9180"/>
              </w:tabs>
              <w:spacing w:before="120" w:after="120"/>
              <w:rPr>
                <w:rFonts w:ascii="Arial" w:hAnsi="Arial"/>
                <w:sz w:val="16"/>
                <w:szCs w:val="16"/>
              </w:rPr>
            </w:pPr>
            <w:r w:rsidRPr="00E66456">
              <w:rPr>
                <w:rFonts w:ascii="Arial" w:hAnsi="Arial"/>
                <w:sz w:val="16"/>
                <w:szCs w:val="16"/>
              </w:rPr>
              <w:t xml:space="preserve">One </w:t>
            </w:r>
            <w:r w:rsidR="00572A29">
              <w:rPr>
                <w:rFonts w:ascii="Arial" w:hAnsi="Arial"/>
                <w:sz w:val="16"/>
                <w:szCs w:val="16"/>
              </w:rPr>
              <w:t xml:space="preserve">(1) </w:t>
            </w:r>
            <w:r w:rsidRPr="00E66456">
              <w:rPr>
                <w:rFonts w:ascii="Arial" w:hAnsi="Arial"/>
                <w:sz w:val="16"/>
                <w:szCs w:val="16"/>
              </w:rPr>
              <w:t xml:space="preserve">vote per common share </w:t>
            </w:r>
          </w:p>
        </w:tc>
        <w:tc>
          <w:tcPr>
            <w:tcW w:w="1440" w:type="dxa"/>
            <w:vAlign w:val="center"/>
          </w:tcPr>
          <w:p w14:paraId="1B6B7A5F" w14:textId="53A85979"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HD Units</w:t>
            </w:r>
          </w:p>
        </w:tc>
        <w:tc>
          <w:tcPr>
            <w:tcW w:w="2970" w:type="dxa"/>
            <w:vAlign w:val="center"/>
          </w:tcPr>
          <w:p w14:paraId="199E801C" w14:textId="37A97291" w:rsidR="00A522D6" w:rsidRPr="00E66456" w:rsidRDefault="00A522D6" w:rsidP="00033F9C">
            <w:pPr>
              <w:pStyle w:val="BodyText"/>
              <w:tabs>
                <w:tab w:val="left" w:pos="1080"/>
                <w:tab w:val="left" w:pos="1440"/>
                <w:tab w:val="left" w:pos="2160"/>
                <w:tab w:val="left" w:pos="9180"/>
              </w:tabs>
              <w:spacing w:before="0"/>
              <w:rPr>
                <w:rFonts w:ascii="Arial" w:hAnsi="Arial"/>
                <w:sz w:val="16"/>
                <w:szCs w:val="16"/>
              </w:rPr>
            </w:pPr>
            <w:r w:rsidRPr="00E66456">
              <w:rPr>
                <w:rFonts w:ascii="Arial" w:hAnsi="Arial"/>
                <w:sz w:val="16"/>
                <w:szCs w:val="16"/>
              </w:rPr>
              <w:t xml:space="preserve">One </w:t>
            </w:r>
            <w:r w:rsidR="00572A29">
              <w:rPr>
                <w:rFonts w:ascii="Arial" w:hAnsi="Arial"/>
                <w:sz w:val="16"/>
                <w:szCs w:val="16"/>
              </w:rPr>
              <w:t xml:space="preserve">(1) </w:t>
            </w:r>
            <w:r w:rsidRPr="00E66456">
              <w:rPr>
                <w:rFonts w:ascii="Arial" w:hAnsi="Arial"/>
                <w:sz w:val="16"/>
                <w:szCs w:val="16"/>
              </w:rPr>
              <w:t>common share and one</w:t>
            </w:r>
            <w:r w:rsidR="00572A29">
              <w:rPr>
                <w:rFonts w:ascii="Arial" w:hAnsi="Arial"/>
                <w:sz w:val="16"/>
                <w:szCs w:val="16"/>
              </w:rPr>
              <w:t xml:space="preserve"> (1)</w:t>
            </w:r>
            <w:r w:rsidRPr="00E66456">
              <w:rPr>
                <w:rFonts w:ascii="Arial" w:hAnsi="Arial"/>
                <w:sz w:val="16"/>
                <w:szCs w:val="16"/>
              </w:rPr>
              <w:t xml:space="preserve"> warrant</w:t>
            </w:r>
          </w:p>
        </w:tc>
      </w:tr>
    </w:tbl>
    <w:p w14:paraId="5DA9DE48" w14:textId="1866BB6F" w:rsidR="00A522D6" w:rsidRPr="00E66456" w:rsidRDefault="00A522D6" w:rsidP="00A522D6">
      <w:pPr>
        <w:spacing w:before="120"/>
        <w:rPr>
          <w:rFonts w:ascii="Arial" w:hAnsi="Arial" w:cs="Arial"/>
          <w:b/>
          <w:bCs/>
          <w:sz w:val="16"/>
          <w:szCs w:val="16"/>
        </w:rPr>
      </w:pPr>
      <w:r w:rsidRPr="00E66456">
        <w:rPr>
          <w:rFonts w:ascii="Arial" w:hAnsi="Arial" w:cs="Arial"/>
          <w:b/>
          <w:bCs/>
          <w:sz w:val="16"/>
          <w:szCs w:val="16"/>
        </w:rPr>
        <w:t>Notes:</w:t>
      </w:r>
    </w:p>
    <w:p w14:paraId="383153B6" w14:textId="34A378EF" w:rsidR="00A522D6" w:rsidRPr="00E66456" w:rsidRDefault="00A522D6" w:rsidP="00A522D6">
      <w:pPr>
        <w:rPr>
          <w:rFonts w:ascii="Arial" w:hAnsi="Arial" w:cs="Arial"/>
          <w:sz w:val="16"/>
          <w:szCs w:val="16"/>
        </w:rPr>
      </w:pPr>
      <w:r w:rsidRPr="00E66456">
        <w:rPr>
          <w:rFonts w:ascii="Arial" w:hAnsi="Arial" w:cs="Arial"/>
          <w:sz w:val="16"/>
          <w:szCs w:val="16"/>
        </w:rPr>
        <w:t>(1)</w:t>
      </w:r>
      <w:r w:rsidRPr="00E66456">
        <w:rPr>
          <w:rFonts w:ascii="Arial" w:hAnsi="Arial" w:cs="Arial"/>
          <w:sz w:val="16"/>
          <w:szCs w:val="16"/>
        </w:rPr>
        <w:tab/>
        <w:t>Common shares</w:t>
      </w:r>
      <w:r w:rsidR="00E66456" w:rsidRPr="00E66456">
        <w:rPr>
          <w:rFonts w:ascii="Arial" w:hAnsi="Arial" w:cs="Arial"/>
          <w:sz w:val="16"/>
          <w:szCs w:val="16"/>
        </w:rPr>
        <w:t xml:space="preserve">, </w:t>
      </w:r>
      <w:r w:rsidR="00E66456">
        <w:rPr>
          <w:rFonts w:ascii="Arial" w:hAnsi="Arial" w:cs="Arial"/>
          <w:sz w:val="16"/>
          <w:szCs w:val="16"/>
        </w:rPr>
        <w:t xml:space="preserve">to be </w:t>
      </w:r>
      <w:r w:rsidR="00E66456" w:rsidRPr="00E66456">
        <w:rPr>
          <w:rFonts w:ascii="Arial" w:hAnsi="Arial" w:cs="Arial"/>
          <w:sz w:val="16"/>
          <w:szCs w:val="16"/>
        </w:rPr>
        <w:t>issued on a “flow-through” basis</w:t>
      </w:r>
      <w:r w:rsidR="00E66456">
        <w:rPr>
          <w:rFonts w:ascii="Arial" w:hAnsi="Arial" w:cs="Arial"/>
          <w:sz w:val="16"/>
          <w:szCs w:val="16"/>
        </w:rPr>
        <w:t>,</w:t>
      </w:r>
      <w:r w:rsidRPr="00E66456">
        <w:rPr>
          <w:rFonts w:ascii="Arial" w:hAnsi="Arial" w:cs="Arial"/>
          <w:sz w:val="16"/>
          <w:szCs w:val="16"/>
        </w:rPr>
        <w:t xml:space="preserve"> </w:t>
      </w:r>
      <w:r w:rsidR="008E2091">
        <w:rPr>
          <w:rFonts w:ascii="Arial" w:hAnsi="Arial" w:cs="Arial"/>
          <w:sz w:val="16"/>
          <w:szCs w:val="16"/>
        </w:rPr>
        <w:t xml:space="preserve">forming part of </w:t>
      </w:r>
      <w:r w:rsidRPr="00E66456">
        <w:rPr>
          <w:rFonts w:ascii="Arial" w:hAnsi="Arial" w:cs="Arial"/>
          <w:sz w:val="16"/>
          <w:szCs w:val="16"/>
        </w:rPr>
        <w:t>the Charity FT Unit</w:t>
      </w:r>
      <w:r w:rsidR="00E66456">
        <w:rPr>
          <w:rFonts w:ascii="Arial" w:hAnsi="Arial" w:cs="Arial"/>
          <w:sz w:val="16"/>
          <w:szCs w:val="16"/>
        </w:rPr>
        <w:t xml:space="preserve">s and </w:t>
      </w:r>
      <w:r w:rsidRPr="00E66456">
        <w:rPr>
          <w:rFonts w:ascii="Arial" w:hAnsi="Arial" w:cs="Arial"/>
          <w:sz w:val="16"/>
          <w:szCs w:val="16"/>
        </w:rPr>
        <w:t>the FT Unit</w:t>
      </w:r>
      <w:r w:rsidR="00E66456">
        <w:rPr>
          <w:rFonts w:ascii="Arial" w:hAnsi="Arial" w:cs="Arial"/>
          <w:sz w:val="16"/>
          <w:szCs w:val="16"/>
        </w:rPr>
        <w:t>s</w:t>
      </w:r>
      <w:r w:rsidRPr="00E66456">
        <w:rPr>
          <w:rFonts w:ascii="Arial" w:hAnsi="Arial" w:cs="Arial"/>
          <w:sz w:val="16"/>
          <w:szCs w:val="16"/>
        </w:rPr>
        <w:t>;</w:t>
      </w:r>
    </w:p>
    <w:p w14:paraId="2953352C" w14:textId="4F7D4FF1" w:rsidR="00A522D6" w:rsidRPr="00E66456" w:rsidRDefault="00A522D6" w:rsidP="00A522D6">
      <w:pPr>
        <w:rPr>
          <w:rFonts w:ascii="Arial" w:hAnsi="Arial" w:cs="Arial"/>
          <w:sz w:val="16"/>
          <w:szCs w:val="16"/>
        </w:rPr>
      </w:pPr>
      <w:r w:rsidRPr="00E66456">
        <w:rPr>
          <w:rFonts w:ascii="Arial" w:hAnsi="Arial" w:cs="Arial"/>
          <w:sz w:val="16"/>
          <w:szCs w:val="16"/>
        </w:rPr>
        <w:t>(2)</w:t>
      </w:r>
      <w:r w:rsidRPr="00E66456">
        <w:rPr>
          <w:rFonts w:ascii="Arial" w:hAnsi="Arial" w:cs="Arial"/>
          <w:sz w:val="16"/>
          <w:szCs w:val="16"/>
        </w:rPr>
        <w:tab/>
      </w:r>
      <w:r w:rsidR="00E66456">
        <w:rPr>
          <w:rFonts w:ascii="Arial" w:hAnsi="Arial" w:cs="Arial"/>
          <w:sz w:val="16"/>
          <w:szCs w:val="16"/>
        </w:rPr>
        <w:t>Common shares</w:t>
      </w:r>
      <w:r w:rsidR="00572A29">
        <w:rPr>
          <w:rFonts w:ascii="Arial" w:hAnsi="Arial" w:cs="Arial"/>
          <w:sz w:val="16"/>
          <w:szCs w:val="16"/>
        </w:rPr>
        <w:t>,</w:t>
      </w:r>
      <w:r w:rsidR="00E66456">
        <w:rPr>
          <w:rFonts w:ascii="Arial" w:hAnsi="Arial" w:cs="Arial"/>
          <w:sz w:val="16"/>
          <w:szCs w:val="16"/>
        </w:rPr>
        <w:t xml:space="preserve"> to be issued </w:t>
      </w:r>
      <w:r w:rsidR="008E2091">
        <w:rPr>
          <w:rFonts w:ascii="Arial" w:hAnsi="Arial" w:cs="Arial"/>
          <w:sz w:val="16"/>
          <w:szCs w:val="16"/>
        </w:rPr>
        <w:t>forming part of</w:t>
      </w:r>
      <w:r w:rsidR="00E66456">
        <w:rPr>
          <w:rFonts w:ascii="Arial" w:hAnsi="Arial" w:cs="Arial"/>
          <w:sz w:val="16"/>
          <w:szCs w:val="16"/>
        </w:rPr>
        <w:t xml:space="preserve"> the HD Unit</w:t>
      </w:r>
      <w:r w:rsidR="00117090">
        <w:rPr>
          <w:rFonts w:ascii="Arial" w:hAnsi="Arial" w:cs="Arial"/>
          <w:sz w:val="16"/>
          <w:szCs w:val="16"/>
        </w:rPr>
        <w:t>s</w:t>
      </w:r>
      <w:r w:rsidRPr="00E66456">
        <w:rPr>
          <w:rFonts w:ascii="Arial" w:hAnsi="Arial" w:cs="Arial"/>
          <w:sz w:val="16"/>
          <w:szCs w:val="16"/>
        </w:rPr>
        <w:t>;</w:t>
      </w:r>
    </w:p>
    <w:p w14:paraId="605A16E6" w14:textId="77777777" w:rsidR="00D902A8" w:rsidRDefault="00D902A8" w:rsidP="005F7663">
      <w:pPr>
        <w:pStyle w:val="BodyText"/>
        <w:numPr>
          <w:ilvl w:val="0"/>
          <w:numId w:val="10"/>
        </w:numPr>
        <w:tabs>
          <w:tab w:val="left" w:pos="1440"/>
          <w:tab w:val="left" w:pos="2160"/>
          <w:tab w:val="left" w:pos="9180"/>
        </w:tabs>
        <w:spacing w:before="120"/>
        <w:rPr>
          <w:rFonts w:ascii="Arial" w:hAnsi="Arial"/>
        </w:rPr>
        <w:sectPr w:rsidR="00D902A8" w:rsidSect="0084385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10" w:left="1440" w:header="720" w:footer="341" w:gutter="0"/>
          <w:pgNumType w:start="1"/>
          <w:cols w:space="720"/>
          <w:titlePg/>
          <w:docGrid w:linePitch="272"/>
        </w:sectPr>
      </w:pPr>
    </w:p>
    <w:p w14:paraId="37F8DD80" w14:textId="658CA9C7" w:rsidR="00EA4133" w:rsidRDefault="00EA4133" w:rsidP="005F7663">
      <w:pPr>
        <w:pStyle w:val="BodyText"/>
        <w:numPr>
          <w:ilvl w:val="0"/>
          <w:numId w:val="10"/>
        </w:numPr>
        <w:tabs>
          <w:tab w:val="left" w:pos="1440"/>
          <w:tab w:val="left" w:pos="2160"/>
          <w:tab w:val="left" w:pos="9180"/>
        </w:tabs>
        <w:spacing w:before="120"/>
        <w:rPr>
          <w:rFonts w:ascii="Arial" w:hAnsi="Arial"/>
        </w:rPr>
      </w:pPr>
      <w:r>
        <w:rPr>
          <w:rFonts w:ascii="Arial" w:hAnsi="Arial"/>
        </w:rPr>
        <w:lastRenderedPageBreak/>
        <w:t xml:space="preserve">Provide the following information if </w:t>
      </w:r>
      <w:r w:rsidR="00C536D3">
        <w:rPr>
          <w:rFonts w:ascii="Arial" w:hAnsi="Arial"/>
        </w:rPr>
        <w:t>w</w:t>
      </w:r>
      <w:r>
        <w:rPr>
          <w:rFonts w:ascii="Arial" w:hAnsi="Arial"/>
        </w:rPr>
        <w:t>arrants, (options) or other convertible securities are to be issued:</w:t>
      </w:r>
    </w:p>
    <w:p w14:paraId="0935CB86" w14:textId="5CD75BBE" w:rsidR="00E66456" w:rsidRPr="00E66456" w:rsidRDefault="00E66456" w:rsidP="00117090">
      <w:pPr>
        <w:pStyle w:val="BodyText"/>
        <w:tabs>
          <w:tab w:val="left" w:pos="1440"/>
          <w:tab w:val="left" w:pos="2160"/>
          <w:tab w:val="left" w:pos="9180"/>
        </w:tabs>
        <w:spacing w:before="0" w:after="120"/>
        <w:rPr>
          <w:rFonts w:ascii="Arial" w:hAnsi="Arial"/>
          <w:sz w:val="20"/>
          <w:szCs w:val="16"/>
        </w:rPr>
      </w:pPr>
      <w:r w:rsidRPr="00E66456">
        <w:rPr>
          <w:rFonts w:ascii="Arial" w:hAnsi="Arial"/>
          <w:b/>
          <w:bCs/>
          <w:sz w:val="20"/>
          <w:szCs w:val="16"/>
          <w:u w:val="single"/>
        </w:rPr>
        <w:t>Warrants</w:t>
      </w:r>
    </w:p>
    <w:tbl>
      <w:tblPr>
        <w:tblStyle w:val="TableGrid"/>
        <w:tblW w:w="9900" w:type="dxa"/>
        <w:tblInd w:w="-72" w:type="dxa"/>
        <w:tblLook w:val="04A0" w:firstRow="1" w:lastRow="0" w:firstColumn="1" w:lastColumn="0" w:noHBand="0" w:noVBand="1"/>
      </w:tblPr>
      <w:tblGrid>
        <w:gridCol w:w="1172"/>
        <w:gridCol w:w="937"/>
        <w:gridCol w:w="2303"/>
        <w:gridCol w:w="1168"/>
        <w:gridCol w:w="1980"/>
        <w:gridCol w:w="900"/>
        <w:gridCol w:w="1440"/>
      </w:tblGrid>
      <w:tr w:rsidR="00D902A8" w:rsidRPr="000822F2" w14:paraId="64B54A40" w14:textId="77777777" w:rsidTr="00D902A8">
        <w:tc>
          <w:tcPr>
            <w:tcW w:w="1172" w:type="dxa"/>
            <w:shd w:val="clear" w:color="auto" w:fill="D9D9D9" w:themeFill="background1" w:themeFillShade="D9"/>
            <w:vAlign w:val="bottom"/>
          </w:tcPr>
          <w:p w14:paraId="7DE2906E" w14:textId="501FB8B7"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Unit</w:t>
            </w:r>
          </w:p>
        </w:tc>
        <w:tc>
          <w:tcPr>
            <w:tcW w:w="937" w:type="dxa"/>
            <w:shd w:val="clear" w:color="auto" w:fill="D9D9D9" w:themeFill="background1" w:themeFillShade="D9"/>
            <w:vAlign w:val="bottom"/>
          </w:tcPr>
          <w:p w14:paraId="65F42DD3" w14:textId="13E67A8F"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Purchase Price per Unit</w:t>
            </w:r>
          </w:p>
        </w:tc>
        <w:tc>
          <w:tcPr>
            <w:tcW w:w="2303" w:type="dxa"/>
            <w:shd w:val="clear" w:color="auto" w:fill="D9D9D9" w:themeFill="background1" w:themeFillShade="D9"/>
            <w:vAlign w:val="bottom"/>
          </w:tcPr>
          <w:p w14:paraId="79A5B541" w14:textId="68E5685B"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Unit Makeup</w:t>
            </w:r>
          </w:p>
        </w:tc>
        <w:tc>
          <w:tcPr>
            <w:tcW w:w="1168" w:type="dxa"/>
            <w:shd w:val="clear" w:color="auto" w:fill="D9D9D9" w:themeFill="background1" w:themeFillShade="D9"/>
            <w:vAlign w:val="bottom"/>
          </w:tcPr>
          <w:p w14:paraId="4C46CE52" w14:textId="77777777" w:rsidR="00D902A8" w:rsidRDefault="00D902A8" w:rsidP="00D902A8">
            <w:pPr>
              <w:pStyle w:val="BodyText"/>
              <w:tabs>
                <w:tab w:val="left" w:pos="1440"/>
                <w:tab w:val="left" w:pos="2160"/>
                <w:tab w:val="left" w:pos="9180"/>
              </w:tabs>
              <w:spacing w:before="0"/>
              <w:jc w:val="center"/>
              <w:rPr>
                <w:rFonts w:ascii="Arial" w:hAnsi="Arial"/>
                <w:b/>
                <w:bCs/>
                <w:sz w:val="16"/>
                <w:szCs w:val="16"/>
              </w:rPr>
            </w:pPr>
            <w:r>
              <w:rPr>
                <w:rFonts w:ascii="Arial" w:hAnsi="Arial"/>
                <w:b/>
                <w:bCs/>
                <w:sz w:val="16"/>
                <w:szCs w:val="16"/>
              </w:rPr>
              <w:t>(a)</w:t>
            </w:r>
          </w:p>
          <w:p w14:paraId="7FAF5962" w14:textId="5365F6C8" w:rsidR="00D902A8"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Number of warrants</w:t>
            </w:r>
            <w:r>
              <w:rPr>
                <w:rFonts w:ascii="Arial" w:hAnsi="Arial"/>
                <w:b/>
                <w:bCs/>
                <w:sz w:val="16"/>
                <w:szCs w:val="16"/>
              </w:rPr>
              <w:t xml:space="preserve"> </w:t>
            </w:r>
            <w:r w:rsidRPr="000822F2">
              <w:rPr>
                <w:rFonts w:ascii="Arial" w:hAnsi="Arial"/>
                <w:b/>
                <w:bCs/>
                <w:sz w:val="16"/>
                <w:szCs w:val="16"/>
              </w:rPr>
              <w:t>to be issued</w:t>
            </w:r>
          </w:p>
        </w:tc>
        <w:tc>
          <w:tcPr>
            <w:tcW w:w="1980" w:type="dxa"/>
            <w:shd w:val="clear" w:color="auto" w:fill="D9D9D9" w:themeFill="background1" w:themeFillShade="D9"/>
            <w:vAlign w:val="bottom"/>
          </w:tcPr>
          <w:p w14:paraId="0FB8142A" w14:textId="00B13E1A" w:rsidR="00D902A8" w:rsidRDefault="00D902A8" w:rsidP="00D902A8">
            <w:pPr>
              <w:pStyle w:val="BodyText"/>
              <w:tabs>
                <w:tab w:val="left" w:pos="1440"/>
                <w:tab w:val="left" w:pos="2160"/>
                <w:tab w:val="left" w:pos="9180"/>
              </w:tabs>
              <w:spacing w:before="0"/>
              <w:jc w:val="center"/>
              <w:rPr>
                <w:rFonts w:ascii="Arial" w:hAnsi="Arial"/>
                <w:b/>
                <w:bCs/>
                <w:sz w:val="16"/>
                <w:szCs w:val="16"/>
              </w:rPr>
            </w:pPr>
          </w:p>
          <w:p w14:paraId="782D4ED6" w14:textId="1DB15D00" w:rsidR="00D902A8" w:rsidRDefault="00D902A8" w:rsidP="00D902A8">
            <w:pPr>
              <w:pStyle w:val="BodyText"/>
              <w:tabs>
                <w:tab w:val="left" w:pos="1440"/>
                <w:tab w:val="left" w:pos="2160"/>
                <w:tab w:val="left" w:pos="9180"/>
              </w:tabs>
              <w:spacing w:before="0"/>
              <w:jc w:val="center"/>
              <w:rPr>
                <w:rFonts w:ascii="Arial" w:hAnsi="Arial"/>
                <w:b/>
                <w:bCs/>
                <w:sz w:val="16"/>
                <w:szCs w:val="16"/>
              </w:rPr>
            </w:pPr>
            <w:r>
              <w:rPr>
                <w:rFonts w:ascii="Arial" w:hAnsi="Arial"/>
                <w:b/>
                <w:bCs/>
                <w:sz w:val="16"/>
                <w:szCs w:val="16"/>
              </w:rPr>
              <w:t>(b)</w:t>
            </w:r>
          </w:p>
          <w:p w14:paraId="1D18FC62" w14:textId="5AF806E4"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Securities Eligible to be purchased on exercise of Warrants</w:t>
            </w:r>
          </w:p>
        </w:tc>
        <w:tc>
          <w:tcPr>
            <w:tcW w:w="900" w:type="dxa"/>
            <w:shd w:val="clear" w:color="auto" w:fill="D9D9D9" w:themeFill="background1" w:themeFillShade="D9"/>
            <w:vAlign w:val="bottom"/>
          </w:tcPr>
          <w:p w14:paraId="04E79CBA" w14:textId="77777777" w:rsidR="00D902A8" w:rsidRDefault="00D902A8" w:rsidP="00D902A8">
            <w:pPr>
              <w:pStyle w:val="BodyText"/>
              <w:tabs>
                <w:tab w:val="left" w:pos="1440"/>
                <w:tab w:val="left" w:pos="2160"/>
                <w:tab w:val="left" w:pos="9180"/>
              </w:tabs>
              <w:spacing w:before="0"/>
              <w:jc w:val="center"/>
              <w:rPr>
                <w:rFonts w:ascii="Arial" w:hAnsi="Arial"/>
                <w:b/>
                <w:bCs/>
                <w:sz w:val="16"/>
                <w:szCs w:val="16"/>
              </w:rPr>
            </w:pPr>
            <w:r>
              <w:rPr>
                <w:rFonts w:ascii="Arial" w:hAnsi="Arial"/>
                <w:b/>
                <w:bCs/>
                <w:sz w:val="16"/>
                <w:szCs w:val="16"/>
              </w:rPr>
              <w:t>(c)</w:t>
            </w:r>
          </w:p>
          <w:p w14:paraId="6296F632" w14:textId="2E762148"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Warrant Exercise Price</w:t>
            </w:r>
          </w:p>
        </w:tc>
        <w:tc>
          <w:tcPr>
            <w:tcW w:w="1440" w:type="dxa"/>
            <w:shd w:val="clear" w:color="auto" w:fill="D9D9D9" w:themeFill="background1" w:themeFillShade="D9"/>
            <w:vAlign w:val="bottom"/>
          </w:tcPr>
          <w:p w14:paraId="0F945F6A" w14:textId="77777777" w:rsidR="00D902A8" w:rsidRDefault="00D902A8" w:rsidP="00D902A8">
            <w:pPr>
              <w:pStyle w:val="BodyText"/>
              <w:tabs>
                <w:tab w:val="left" w:pos="1440"/>
                <w:tab w:val="left" w:pos="2160"/>
                <w:tab w:val="left" w:pos="9180"/>
              </w:tabs>
              <w:spacing w:before="0"/>
              <w:jc w:val="center"/>
              <w:rPr>
                <w:rFonts w:ascii="Arial" w:hAnsi="Arial"/>
                <w:b/>
                <w:bCs/>
                <w:sz w:val="16"/>
                <w:szCs w:val="16"/>
              </w:rPr>
            </w:pPr>
            <w:r>
              <w:rPr>
                <w:rFonts w:ascii="Arial" w:hAnsi="Arial"/>
                <w:b/>
                <w:bCs/>
                <w:sz w:val="16"/>
                <w:szCs w:val="16"/>
              </w:rPr>
              <w:t>(d)</w:t>
            </w:r>
          </w:p>
          <w:p w14:paraId="546FB7A7" w14:textId="60C563D9" w:rsidR="00D902A8" w:rsidRPr="000822F2" w:rsidRDefault="00D902A8" w:rsidP="00D902A8">
            <w:pPr>
              <w:pStyle w:val="BodyText"/>
              <w:tabs>
                <w:tab w:val="left" w:pos="1440"/>
                <w:tab w:val="left" w:pos="2160"/>
                <w:tab w:val="left" w:pos="9180"/>
              </w:tabs>
              <w:spacing w:before="0"/>
              <w:jc w:val="center"/>
              <w:rPr>
                <w:rFonts w:ascii="Arial" w:hAnsi="Arial"/>
                <w:b/>
                <w:bCs/>
                <w:sz w:val="16"/>
                <w:szCs w:val="16"/>
              </w:rPr>
            </w:pPr>
            <w:r w:rsidRPr="000822F2">
              <w:rPr>
                <w:rFonts w:ascii="Arial" w:hAnsi="Arial"/>
                <w:b/>
                <w:bCs/>
                <w:sz w:val="16"/>
                <w:szCs w:val="16"/>
              </w:rPr>
              <w:t>Warrant Expiry Date</w:t>
            </w:r>
          </w:p>
        </w:tc>
      </w:tr>
      <w:tr w:rsidR="00D902A8" w:rsidRPr="000822F2" w14:paraId="4731D29B" w14:textId="77777777" w:rsidTr="00D902A8">
        <w:tc>
          <w:tcPr>
            <w:tcW w:w="1172" w:type="dxa"/>
            <w:vAlign w:val="center"/>
          </w:tcPr>
          <w:p w14:paraId="5EBDABF0" w14:textId="318083BA"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Charity FT Unit</w:t>
            </w:r>
            <w:r>
              <w:rPr>
                <w:rFonts w:ascii="Arial" w:hAnsi="Arial"/>
                <w:sz w:val="16"/>
                <w:szCs w:val="16"/>
              </w:rPr>
              <w:t>s</w:t>
            </w:r>
            <w:r w:rsidRPr="000822F2">
              <w:rPr>
                <w:rFonts w:ascii="Arial" w:hAnsi="Arial"/>
                <w:sz w:val="16"/>
                <w:szCs w:val="16"/>
              </w:rPr>
              <w:t xml:space="preserve"> </w:t>
            </w:r>
          </w:p>
        </w:tc>
        <w:tc>
          <w:tcPr>
            <w:tcW w:w="937" w:type="dxa"/>
            <w:vAlign w:val="center"/>
          </w:tcPr>
          <w:p w14:paraId="7C493AF0" w14:textId="4B76841D" w:rsidR="00D902A8" w:rsidRPr="000822F2"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$0.19</w:t>
            </w:r>
          </w:p>
        </w:tc>
        <w:tc>
          <w:tcPr>
            <w:tcW w:w="2303" w:type="dxa"/>
            <w:vAlign w:val="center"/>
          </w:tcPr>
          <w:p w14:paraId="35EE5879" w14:textId="34B5E018" w:rsidR="00D902A8" w:rsidRPr="000822F2" w:rsidRDefault="00D902A8" w:rsidP="00D902A8">
            <w:pPr>
              <w:pStyle w:val="BodyText"/>
              <w:tabs>
                <w:tab w:val="left" w:pos="1440"/>
                <w:tab w:val="left" w:pos="2160"/>
                <w:tab w:val="left" w:pos="9180"/>
              </w:tabs>
              <w:spacing w:before="120" w:after="120"/>
              <w:rPr>
                <w:rFonts w:ascii="Arial" w:hAnsi="Arial"/>
                <w:sz w:val="16"/>
                <w:szCs w:val="16"/>
              </w:rPr>
            </w:pPr>
            <w:r w:rsidRPr="000822F2">
              <w:rPr>
                <w:rFonts w:ascii="Arial" w:hAnsi="Arial"/>
                <w:sz w:val="16"/>
                <w:szCs w:val="16"/>
              </w:rPr>
              <w:t>One (1) Charity Flow-Through common share and one (1) transferable common share</w:t>
            </w:r>
            <w:r>
              <w:rPr>
                <w:rFonts w:ascii="Arial" w:hAnsi="Arial"/>
                <w:sz w:val="16"/>
                <w:szCs w:val="16"/>
              </w:rPr>
              <w:t xml:space="preserve"> purchase warrant</w:t>
            </w:r>
          </w:p>
        </w:tc>
        <w:tc>
          <w:tcPr>
            <w:tcW w:w="1168" w:type="dxa"/>
            <w:vAlign w:val="center"/>
          </w:tcPr>
          <w:p w14:paraId="2D8799B9" w14:textId="09B92C14" w:rsidR="00D902A8"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TBD</w:t>
            </w:r>
          </w:p>
        </w:tc>
        <w:tc>
          <w:tcPr>
            <w:tcW w:w="1980" w:type="dxa"/>
            <w:vAlign w:val="center"/>
          </w:tcPr>
          <w:p w14:paraId="6C34CEA1" w14:textId="0D0DA88D" w:rsidR="00D902A8" w:rsidRPr="000822F2" w:rsidRDefault="00D902A8" w:rsidP="00D902A8">
            <w:pPr>
              <w:pStyle w:val="BodyText"/>
              <w:tabs>
                <w:tab w:val="left" w:pos="1440"/>
                <w:tab w:val="left" w:pos="2160"/>
                <w:tab w:val="left" w:pos="9180"/>
              </w:tabs>
              <w:spacing w:before="0"/>
              <w:rPr>
                <w:rFonts w:ascii="Arial" w:hAnsi="Arial"/>
                <w:sz w:val="16"/>
                <w:szCs w:val="16"/>
              </w:rPr>
            </w:pPr>
            <w:r>
              <w:rPr>
                <w:rFonts w:ascii="Arial" w:hAnsi="Arial"/>
                <w:sz w:val="16"/>
                <w:szCs w:val="16"/>
              </w:rPr>
              <w:t>One (1) common share upon exercise of a common share purchase warrant</w:t>
            </w:r>
          </w:p>
        </w:tc>
        <w:tc>
          <w:tcPr>
            <w:tcW w:w="900" w:type="dxa"/>
            <w:vAlign w:val="center"/>
          </w:tcPr>
          <w:p w14:paraId="40E7EFDF" w14:textId="39085DB1"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$0.20</w:t>
            </w:r>
          </w:p>
        </w:tc>
        <w:tc>
          <w:tcPr>
            <w:tcW w:w="1440" w:type="dxa"/>
            <w:vAlign w:val="center"/>
          </w:tcPr>
          <w:p w14:paraId="1CEA21BE" w14:textId="5A4BCAC9"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24 months from Issuance</w:t>
            </w:r>
          </w:p>
        </w:tc>
      </w:tr>
      <w:tr w:rsidR="00D902A8" w:rsidRPr="000822F2" w14:paraId="621711B5" w14:textId="77777777" w:rsidTr="00D902A8">
        <w:tc>
          <w:tcPr>
            <w:tcW w:w="1172" w:type="dxa"/>
            <w:vAlign w:val="center"/>
          </w:tcPr>
          <w:p w14:paraId="3E77DA7C" w14:textId="2A4A47DF"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FT Unit</w:t>
            </w:r>
            <w:r>
              <w:rPr>
                <w:rFonts w:ascii="Arial" w:hAnsi="Arial"/>
                <w:sz w:val="16"/>
                <w:szCs w:val="16"/>
              </w:rPr>
              <w:t>s</w:t>
            </w:r>
            <w:r w:rsidRPr="000822F2">
              <w:rPr>
                <w:rFonts w:ascii="Arial" w:hAnsi="Arial"/>
                <w:sz w:val="16"/>
                <w:szCs w:val="16"/>
              </w:rPr>
              <w:t xml:space="preserve"> </w:t>
            </w:r>
          </w:p>
        </w:tc>
        <w:tc>
          <w:tcPr>
            <w:tcW w:w="937" w:type="dxa"/>
            <w:vAlign w:val="center"/>
          </w:tcPr>
          <w:p w14:paraId="2AEE9DF1" w14:textId="7BC3D0D7" w:rsidR="00D902A8" w:rsidRPr="000822F2"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$0.155</w:t>
            </w:r>
          </w:p>
        </w:tc>
        <w:tc>
          <w:tcPr>
            <w:tcW w:w="2303" w:type="dxa"/>
            <w:vAlign w:val="center"/>
          </w:tcPr>
          <w:p w14:paraId="0200F65E" w14:textId="37835BB1" w:rsidR="00D902A8" w:rsidRPr="000822F2" w:rsidRDefault="00D902A8" w:rsidP="00D902A8">
            <w:pPr>
              <w:pStyle w:val="BodyText"/>
              <w:tabs>
                <w:tab w:val="left" w:pos="1440"/>
                <w:tab w:val="left" w:pos="2160"/>
                <w:tab w:val="left" w:pos="9180"/>
              </w:tabs>
              <w:spacing w:before="120" w:after="120"/>
              <w:rPr>
                <w:rFonts w:ascii="Arial" w:hAnsi="Arial"/>
                <w:sz w:val="16"/>
                <w:szCs w:val="16"/>
              </w:rPr>
            </w:pPr>
            <w:r w:rsidRPr="000822F2">
              <w:rPr>
                <w:rFonts w:ascii="Arial" w:hAnsi="Arial"/>
                <w:sz w:val="16"/>
                <w:szCs w:val="16"/>
              </w:rPr>
              <w:t xml:space="preserve">One (1) flow-through Common Share and one-half (1/2) of </w:t>
            </w:r>
            <w:r>
              <w:rPr>
                <w:rFonts w:ascii="Arial" w:hAnsi="Arial"/>
                <w:sz w:val="16"/>
                <w:szCs w:val="16"/>
              </w:rPr>
              <w:t>one</w:t>
            </w:r>
            <w:r w:rsidRPr="000822F2">
              <w:rPr>
                <w:rFonts w:ascii="Arial" w:hAnsi="Arial"/>
                <w:sz w:val="16"/>
                <w:szCs w:val="16"/>
              </w:rPr>
              <w:t xml:space="preserve"> common share purchase warrant </w:t>
            </w:r>
          </w:p>
        </w:tc>
        <w:tc>
          <w:tcPr>
            <w:tcW w:w="1168" w:type="dxa"/>
            <w:vAlign w:val="center"/>
          </w:tcPr>
          <w:p w14:paraId="7C21FE8B" w14:textId="1FDCB171" w:rsidR="00D902A8"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TBD</w:t>
            </w:r>
          </w:p>
        </w:tc>
        <w:tc>
          <w:tcPr>
            <w:tcW w:w="1980" w:type="dxa"/>
            <w:vAlign w:val="center"/>
          </w:tcPr>
          <w:p w14:paraId="2E398A62" w14:textId="29BD145A" w:rsidR="00D902A8" w:rsidRPr="000822F2" w:rsidRDefault="00D902A8" w:rsidP="00D902A8">
            <w:pPr>
              <w:pStyle w:val="BodyText"/>
              <w:tabs>
                <w:tab w:val="left" w:pos="1440"/>
                <w:tab w:val="left" w:pos="2160"/>
                <w:tab w:val="left" w:pos="9180"/>
              </w:tabs>
              <w:spacing w:before="0"/>
              <w:rPr>
                <w:rFonts w:ascii="Arial" w:hAnsi="Arial"/>
                <w:sz w:val="16"/>
                <w:szCs w:val="16"/>
              </w:rPr>
            </w:pPr>
            <w:r>
              <w:rPr>
                <w:rFonts w:ascii="Arial" w:hAnsi="Arial"/>
                <w:sz w:val="16"/>
                <w:szCs w:val="16"/>
              </w:rPr>
              <w:t xml:space="preserve">One (1) common share upon exercise of a whole common share purchase warrant </w:t>
            </w:r>
          </w:p>
        </w:tc>
        <w:tc>
          <w:tcPr>
            <w:tcW w:w="900" w:type="dxa"/>
            <w:vAlign w:val="center"/>
          </w:tcPr>
          <w:p w14:paraId="707EA179" w14:textId="15FBBA16"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$0.23</w:t>
            </w:r>
          </w:p>
        </w:tc>
        <w:tc>
          <w:tcPr>
            <w:tcW w:w="1440" w:type="dxa"/>
            <w:vAlign w:val="center"/>
          </w:tcPr>
          <w:p w14:paraId="450590EC" w14:textId="3AE89D9D"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24 months from Issuance</w:t>
            </w:r>
          </w:p>
        </w:tc>
      </w:tr>
      <w:tr w:rsidR="00D902A8" w:rsidRPr="000822F2" w14:paraId="0D5D4C01" w14:textId="77777777" w:rsidTr="00D902A8">
        <w:tc>
          <w:tcPr>
            <w:tcW w:w="1172" w:type="dxa"/>
            <w:vAlign w:val="center"/>
          </w:tcPr>
          <w:p w14:paraId="4E16B4D8" w14:textId="7EB3EC8E"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HD Unit</w:t>
            </w:r>
            <w:r>
              <w:rPr>
                <w:rFonts w:ascii="Arial" w:hAnsi="Arial"/>
                <w:sz w:val="16"/>
                <w:szCs w:val="16"/>
              </w:rPr>
              <w:t>s</w:t>
            </w:r>
            <w:r w:rsidRPr="000822F2">
              <w:rPr>
                <w:rFonts w:ascii="Arial" w:hAnsi="Arial"/>
                <w:sz w:val="16"/>
                <w:szCs w:val="16"/>
              </w:rPr>
              <w:t xml:space="preserve"> </w:t>
            </w:r>
          </w:p>
        </w:tc>
        <w:tc>
          <w:tcPr>
            <w:tcW w:w="937" w:type="dxa"/>
            <w:vAlign w:val="center"/>
          </w:tcPr>
          <w:p w14:paraId="3E2EA369" w14:textId="2AEEFEF9" w:rsidR="00D902A8" w:rsidRPr="000822F2"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$0.135</w:t>
            </w:r>
          </w:p>
        </w:tc>
        <w:tc>
          <w:tcPr>
            <w:tcW w:w="2303" w:type="dxa"/>
            <w:vAlign w:val="center"/>
          </w:tcPr>
          <w:p w14:paraId="412BCA41" w14:textId="5D886039" w:rsidR="00D902A8" w:rsidRPr="000822F2" w:rsidRDefault="00D902A8" w:rsidP="00D902A8">
            <w:pPr>
              <w:pStyle w:val="BodyText"/>
              <w:tabs>
                <w:tab w:val="left" w:pos="1440"/>
                <w:tab w:val="left" w:pos="2160"/>
                <w:tab w:val="left" w:pos="9180"/>
              </w:tabs>
              <w:spacing w:before="120" w:after="120"/>
              <w:rPr>
                <w:rFonts w:ascii="Arial" w:hAnsi="Arial"/>
                <w:sz w:val="16"/>
                <w:szCs w:val="16"/>
              </w:rPr>
            </w:pPr>
            <w:r w:rsidRPr="000822F2">
              <w:rPr>
                <w:rFonts w:ascii="Arial" w:hAnsi="Arial"/>
                <w:sz w:val="16"/>
                <w:szCs w:val="16"/>
              </w:rPr>
              <w:t>One (1) common share and one (1) common share purchase warrant</w:t>
            </w:r>
          </w:p>
        </w:tc>
        <w:tc>
          <w:tcPr>
            <w:tcW w:w="1168" w:type="dxa"/>
            <w:vAlign w:val="center"/>
          </w:tcPr>
          <w:p w14:paraId="0CBB7B3B" w14:textId="708FFC09" w:rsidR="00D902A8" w:rsidRDefault="00D902A8" w:rsidP="00D902A8">
            <w:pPr>
              <w:pStyle w:val="BodyText"/>
              <w:tabs>
                <w:tab w:val="left" w:pos="1440"/>
                <w:tab w:val="left" w:pos="2160"/>
                <w:tab w:val="left" w:pos="9180"/>
              </w:tabs>
              <w:spacing w:before="0"/>
              <w:jc w:val="center"/>
              <w:rPr>
                <w:rFonts w:ascii="Arial" w:hAnsi="Arial"/>
                <w:sz w:val="16"/>
                <w:szCs w:val="16"/>
              </w:rPr>
            </w:pPr>
            <w:r w:rsidRPr="000822F2">
              <w:rPr>
                <w:rFonts w:ascii="Arial" w:hAnsi="Arial"/>
                <w:sz w:val="16"/>
                <w:szCs w:val="16"/>
              </w:rPr>
              <w:t>TBD</w:t>
            </w:r>
          </w:p>
        </w:tc>
        <w:tc>
          <w:tcPr>
            <w:tcW w:w="1980" w:type="dxa"/>
            <w:vAlign w:val="center"/>
          </w:tcPr>
          <w:p w14:paraId="268141BB" w14:textId="213FDE87" w:rsidR="00D902A8" w:rsidRPr="000822F2" w:rsidRDefault="00D902A8" w:rsidP="00D902A8">
            <w:pPr>
              <w:pStyle w:val="BodyText"/>
              <w:tabs>
                <w:tab w:val="left" w:pos="1440"/>
                <w:tab w:val="left" w:pos="2160"/>
                <w:tab w:val="left" w:pos="9180"/>
              </w:tabs>
              <w:spacing w:before="0"/>
              <w:rPr>
                <w:rFonts w:ascii="Arial" w:hAnsi="Arial"/>
                <w:sz w:val="16"/>
                <w:szCs w:val="16"/>
              </w:rPr>
            </w:pPr>
            <w:r>
              <w:rPr>
                <w:rFonts w:ascii="Arial" w:hAnsi="Arial"/>
                <w:sz w:val="16"/>
                <w:szCs w:val="16"/>
              </w:rPr>
              <w:t>One (1) common share upon exercise of a common share purchase warrant</w:t>
            </w:r>
          </w:p>
        </w:tc>
        <w:tc>
          <w:tcPr>
            <w:tcW w:w="900" w:type="dxa"/>
            <w:vAlign w:val="center"/>
          </w:tcPr>
          <w:p w14:paraId="47C36552" w14:textId="0DCC5A12"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$0.20</w:t>
            </w:r>
          </w:p>
        </w:tc>
        <w:tc>
          <w:tcPr>
            <w:tcW w:w="1440" w:type="dxa"/>
            <w:vAlign w:val="center"/>
          </w:tcPr>
          <w:p w14:paraId="2E12D215" w14:textId="08F36322" w:rsidR="00D902A8" w:rsidRPr="000822F2" w:rsidRDefault="00D902A8" w:rsidP="00D902A8">
            <w:pPr>
              <w:pStyle w:val="BodyText"/>
              <w:tabs>
                <w:tab w:val="left" w:pos="1440"/>
                <w:tab w:val="left" w:pos="2160"/>
                <w:tab w:val="left" w:pos="9180"/>
              </w:tabs>
              <w:spacing w:before="0"/>
              <w:rPr>
                <w:rFonts w:ascii="Arial" w:hAnsi="Arial"/>
                <w:sz w:val="16"/>
                <w:szCs w:val="16"/>
              </w:rPr>
            </w:pPr>
            <w:r w:rsidRPr="000822F2">
              <w:rPr>
                <w:rFonts w:ascii="Arial" w:hAnsi="Arial"/>
                <w:sz w:val="16"/>
                <w:szCs w:val="16"/>
              </w:rPr>
              <w:t>24 months from Issuance</w:t>
            </w:r>
          </w:p>
        </w:tc>
      </w:tr>
    </w:tbl>
    <w:p w14:paraId="5497F85A" w14:textId="02941789" w:rsidR="00EA4133" w:rsidRPr="00D902A8" w:rsidRDefault="00EA4133" w:rsidP="00D902A8">
      <w:pPr>
        <w:pStyle w:val="List"/>
        <w:keepNext/>
        <w:tabs>
          <w:tab w:val="left" w:pos="1440"/>
          <w:tab w:val="left" w:pos="2160"/>
          <w:tab w:val="left" w:pos="9180"/>
        </w:tabs>
        <w:rPr>
          <w:rFonts w:ascii="Arial" w:hAnsi="Arial" w:cs="Arial"/>
          <w:b/>
        </w:rPr>
      </w:pPr>
      <w:r>
        <w:rPr>
          <w:rFonts w:ascii="Arial" w:hAnsi="Arial"/>
        </w:rPr>
        <w:tab/>
      </w:r>
      <w:bookmarkStart w:id="0" w:name="_Toc370788682"/>
      <w:bookmarkStart w:id="1" w:name="_Toc398005538"/>
      <w:bookmarkStart w:id="2" w:name="_Toc412279955"/>
      <w:bookmarkStart w:id="3" w:name="_Toc419096451"/>
      <w:r w:rsidRPr="00D902A8">
        <w:rPr>
          <w:rFonts w:ascii="Arial" w:hAnsi="Arial" w:cs="Arial"/>
        </w:rPr>
        <w:t>Provide the following information if debt securities are to be issued:</w:t>
      </w:r>
      <w:bookmarkEnd w:id="0"/>
      <w:bookmarkEnd w:id="1"/>
      <w:bookmarkEnd w:id="2"/>
      <w:bookmarkEnd w:id="3"/>
      <w:r w:rsidR="006539ED" w:rsidRPr="00D902A8">
        <w:rPr>
          <w:rFonts w:ascii="Arial" w:hAnsi="Arial" w:cs="Arial"/>
        </w:rPr>
        <w:t xml:space="preserve"> </w:t>
      </w:r>
      <w:r w:rsidR="006539ED" w:rsidRPr="00D902A8">
        <w:rPr>
          <w:rFonts w:ascii="Arial" w:hAnsi="Arial" w:cs="Arial"/>
          <w:u w:val="single"/>
        </w:rPr>
        <w:t>N/A</w:t>
      </w:r>
    </w:p>
    <w:p w14:paraId="651F798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0386DC6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67C349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49E27A1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0D78511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2F08494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6539ED" w:rsidRPr="006539ED">
        <w:rPr>
          <w:rFonts w:ascii="Arial" w:hAnsi="Arial"/>
          <w:b/>
          <w:bCs/>
          <w:u w:val="single"/>
        </w:rPr>
        <w:t>TBD</w:t>
      </w:r>
    </w:p>
    <w:p w14:paraId="0E0BD4DE" w14:textId="4E9CD620"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6539ED" w:rsidRPr="006539ED">
        <w:rPr>
          <w:rFonts w:ascii="Arial" w:hAnsi="Arial"/>
          <w:b/>
          <w:bCs/>
          <w:u w:val="single"/>
        </w:rPr>
        <w:t>TBD</w:t>
      </w:r>
    </w:p>
    <w:p w14:paraId="76F20F74" w14:textId="3AC60DC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6539ED" w:rsidRPr="006539ED">
        <w:rPr>
          <w:rFonts w:ascii="Arial" w:hAnsi="Arial"/>
          <w:b/>
          <w:bCs/>
          <w:u w:val="single"/>
        </w:rPr>
        <w:t>TBD</w:t>
      </w:r>
    </w:p>
    <w:p w14:paraId="3F47C7EE" w14:textId="0E5C7BD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6539ED" w:rsidRPr="006539ED">
        <w:rPr>
          <w:rFonts w:ascii="Arial" w:hAnsi="Arial"/>
          <w:b/>
          <w:bCs/>
          <w:u w:val="single"/>
        </w:rPr>
        <w:t>TBD</w:t>
      </w:r>
    </w:p>
    <w:p w14:paraId="3FCDD9CA" w14:textId="137298E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6539ED" w:rsidRPr="006539ED">
        <w:rPr>
          <w:rFonts w:ascii="Arial" w:hAnsi="Arial"/>
          <w:b/>
          <w:bCs/>
          <w:u w:val="single"/>
        </w:rPr>
        <w:t>TBD</w:t>
      </w:r>
      <w:r>
        <w:rPr>
          <w:rFonts w:ascii="Arial" w:hAnsi="Arial"/>
        </w:rPr>
        <w:t>.</w:t>
      </w:r>
    </w:p>
    <w:p w14:paraId="5728FC8A" w14:textId="32033C89"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6539ED" w:rsidRPr="006539ED">
        <w:rPr>
          <w:rFonts w:ascii="Arial" w:hAnsi="Arial"/>
          <w:b/>
          <w:bCs/>
          <w:u w:val="single"/>
        </w:rPr>
        <w:t>TBD</w:t>
      </w:r>
    </w:p>
    <w:p w14:paraId="2CC02DF0" w14:textId="77777777" w:rsidR="006539ED" w:rsidRDefault="00EA4133" w:rsidP="006539ED">
      <w:pPr>
        <w:pStyle w:val="List"/>
        <w:numPr>
          <w:ilvl w:val="0"/>
          <w:numId w:val="10"/>
        </w:numPr>
        <w:tabs>
          <w:tab w:val="left" w:pos="9180"/>
        </w:tabs>
        <w:jc w:val="both"/>
        <w:rPr>
          <w:rFonts w:ascii="Arial" w:hAnsi="Arial"/>
        </w:rPr>
      </w:pPr>
      <w:r>
        <w:rPr>
          <w:rFonts w:ascii="Arial" w:hAnsi="Arial"/>
        </w:rPr>
        <w:lastRenderedPageBreak/>
        <w:t xml:space="preserve">State whether the sales agent, broker, dealer or other person receiving compensation in connection with the placement is Related Person or has any other relationship with the Issuer and provide details of the relationship </w:t>
      </w:r>
      <w:r w:rsidR="006539ED" w:rsidRPr="006539ED">
        <w:rPr>
          <w:rFonts w:ascii="Arial" w:hAnsi="Arial"/>
          <w:b/>
          <w:bCs/>
          <w:u w:val="single"/>
        </w:rPr>
        <w:t>TBD</w:t>
      </w:r>
    </w:p>
    <w:p w14:paraId="1E640232" w14:textId="6DDF5B58" w:rsidR="00EA4133" w:rsidRPr="006539ED" w:rsidRDefault="00EA4133" w:rsidP="000822F2">
      <w:pPr>
        <w:pStyle w:val="List"/>
        <w:keepNext/>
        <w:numPr>
          <w:ilvl w:val="0"/>
          <w:numId w:val="10"/>
        </w:numPr>
        <w:tabs>
          <w:tab w:val="left" w:pos="9180"/>
        </w:tabs>
        <w:jc w:val="both"/>
        <w:rPr>
          <w:rFonts w:ascii="Arial" w:hAnsi="Arial"/>
        </w:rPr>
      </w:pPr>
      <w:r w:rsidRPr="006539ED">
        <w:rPr>
          <w:rFonts w:ascii="Arial" w:hAnsi="Arial"/>
        </w:rPr>
        <w:t>Describe any unusual particulars of the transaction (i.e. tax “flow through” shares, etc.).</w:t>
      </w:r>
    </w:p>
    <w:p w14:paraId="7DB4EC89" w14:textId="41D189B5" w:rsidR="00EA4133" w:rsidRPr="000822F2" w:rsidRDefault="000822F2" w:rsidP="000822F2">
      <w:pPr>
        <w:pStyle w:val="List"/>
        <w:keepNext/>
        <w:tabs>
          <w:tab w:val="left" w:pos="1080"/>
          <w:tab w:val="left" w:pos="9180"/>
        </w:tabs>
        <w:ind w:firstLine="0"/>
        <w:jc w:val="both"/>
        <w:rPr>
          <w:rFonts w:ascii="Arial" w:hAnsi="Arial"/>
          <w:b/>
          <w:bCs/>
          <w:u w:val="single"/>
        </w:rPr>
      </w:pPr>
      <w:r w:rsidRPr="000822F2">
        <w:rPr>
          <w:rFonts w:ascii="Arial" w:hAnsi="Arial"/>
          <w:b/>
          <w:bCs/>
          <w:u w:val="single"/>
        </w:rPr>
        <w:t xml:space="preserve">Issuance of common shares </w:t>
      </w:r>
      <w:r>
        <w:rPr>
          <w:rFonts w:ascii="Arial" w:hAnsi="Arial"/>
          <w:b/>
          <w:bCs/>
          <w:u w:val="single"/>
        </w:rPr>
        <w:t>that are an underlying security</w:t>
      </w:r>
      <w:r w:rsidRPr="000822F2">
        <w:rPr>
          <w:rFonts w:ascii="Arial" w:hAnsi="Arial"/>
          <w:b/>
          <w:bCs/>
          <w:u w:val="single"/>
        </w:rPr>
        <w:t xml:space="preserve"> of the Charity FT Units and FT Units </w:t>
      </w:r>
      <w:r w:rsidR="00EA4133" w:rsidRPr="000822F2">
        <w:rPr>
          <w:rFonts w:ascii="Arial" w:hAnsi="Arial"/>
          <w:b/>
          <w:bCs/>
          <w:u w:val="single"/>
        </w:rPr>
        <w:t xml:space="preserve"> </w:t>
      </w:r>
      <w:r w:rsidRPr="000822F2">
        <w:rPr>
          <w:rFonts w:ascii="Arial" w:hAnsi="Arial"/>
          <w:b/>
          <w:bCs/>
          <w:u w:val="single"/>
        </w:rPr>
        <w:t>to be issued on a “flow-through” basis.</w:t>
      </w:r>
    </w:p>
    <w:p w14:paraId="20E342B3" w14:textId="2092C782" w:rsidR="00EA4133" w:rsidRDefault="00EA4133" w:rsidP="000822F2">
      <w:pPr>
        <w:pStyle w:val="List"/>
        <w:keepNex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2CFD66F4" w:rsidR="00EA4133" w:rsidRDefault="00EA4133">
      <w:pPr>
        <w:pStyle w:val="List"/>
        <w:tabs>
          <w:tab w:val="left" w:pos="1080"/>
          <w:tab w:val="left" w:pos="9180"/>
        </w:tabs>
        <w:ind w:left="0" w:firstLine="0"/>
        <w:jc w:val="both"/>
        <w:rPr>
          <w:rFonts w:ascii="Arial" w:hAnsi="Arial"/>
        </w:rPr>
      </w:pPr>
      <w:r>
        <w:rPr>
          <w:rFonts w:ascii="Arial" w:hAnsi="Arial"/>
        </w:rPr>
        <w:tab/>
      </w:r>
      <w:r w:rsidR="006539ED" w:rsidRPr="006539ED">
        <w:rPr>
          <w:rFonts w:ascii="Arial" w:hAnsi="Arial"/>
          <w:b/>
          <w:bCs/>
          <w:u w:val="single"/>
        </w:rPr>
        <w:t>TBD</w:t>
      </w:r>
    </w:p>
    <w:p w14:paraId="329377FB" w14:textId="77777777" w:rsidR="00EA4133" w:rsidRDefault="00EA4133">
      <w:pPr>
        <w:pStyle w:val="List"/>
        <w:tabs>
          <w:tab w:val="left" w:pos="9180"/>
        </w:tabs>
        <w:spacing w:before="0"/>
        <w:jc w:val="both"/>
        <w:rPr>
          <w:rFonts w:ascii="Arial" w:hAnsi="Arial"/>
        </w:rPr>
      </w:pPr>
    </w:p>
    <w:p w14:paraId="6061FBDA" w14:textId="2EF44187" w:rsidR="00EA4133" w:rsidRDefault="00EA4133" w:rsidP="006539ED">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6539ED" w:rsidRPr="006539ED">
        <w:rPr>
          <w:rFonts w:ascii="Arial" w:hAnsi="Arial"/>
          <w:b/>
          <w:bCs/>
          <w:u w:val="single"/>
        </w:rPr>
        <w:t>TBD</w:t>
      </w:r>
    </w:p>
    <w:p w14:paraId="062D9C74" w14:textId="14868512"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6539ED">
        <w:rPr>
          <w:rFonts w:ascii="Arial" w:hAnsi="Arial"/>
        </w:rPr>
        <w:t xml:space="preserve"> </w:t>
      </w:r>
      <w:r w:rsidR="006539ED">
        <w:rPr>
          <w:rFonts w:ascii="Arial" w:hAnsi="Arial"/>
          <w:b/>
          <w:bCs/>
          <w:u w:val="single"/>
        </w:rPr>
        <w:t>N/A</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7E1F4335" w14:textId="580F5227" w:rsidR="00EA4133" w:rsidRDefault="00EA4133" w:rsidP="006539ED">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6539ED">
        <w:rPr>
          <w:rFonts w:ascii="Arial" w:hAnsi="Arial"/>
          <w:b/>
          <w:bCs/>
          <w:u w:val="single"/>
        </w:rPr>
        <w:t>N/A</w:t>
      </w:r>
    </w:p>
    <w:p w14:paraId="26CFF340" w14:textId="70C6DF0E" w:rsidR="00EA4133" w:rsidRDefault="00EA4133" w:rsidP="006539ED">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6539ED">
        <w:rPr>
          <w:rFonts w:ascii="Arial" w:hAnsi="Arial"/>
          <w:b/>
          <w:bCs/>
          <w:u w:val="single"/>
        </w:rPr>
        <w:t>N/A</w:t>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1FDCF4D" w14:textId="2976135E"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6539ED">
        <w:rPr>
          <w:rFonts w:ascii="Arial" w:hAnsi="Arial"/>
          <w:b/>
          <w:bCs/>
          <w:u w:val="single"/>
        </w:rPr>
        <w:t>N/A</w:t>
      </w:r>
    </w:p>
    <w:p w14:paraId="51067039" w14:textId="7F5C8BC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6539ED">
        <w:rPr>
          <w:rFonts w:ascii="Arial" w:hAnsi="Arial"/>
          <w:b/>
          <w:bCs/>
          <w:u w:val="single"/>
        </w:rPr>
        <w:t>N/A</w:t>
      </w:r>
    </w:p>
    <w:p w14:paraId="0EE18080" w14:textId="7AAB0CEE" w:rsidR="00EA4133" w:rsidRDefault="00EA4133" w:rsidP="006539ED">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6539ED">
        <w:rPr>
          <w:rFonts w:ascii="Arial" w:hAnsi="Arial"/>
          <w:b/>
          <w:bCs/>
          <w:u w:val="single"/>
        </w:rPr>
        <w:t>N/A</w:t>
      </w:r>
    </w:p>
    <w:p w14:paraId="7C0B5562" w14:textId="3F4CEF8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6539ED">
        <w:rPr>
          <w:rFonts w:ascii="Arial" w:hAnsi="Arial"/>
          <w:b/>
          <w:bCs/>
          <w:u w:val="single"/>
        </w:rPr>
        <w:t>N/A</w:t>
      </w:r>
    </w:p>
    <w:p w14:paraId="59D79B38" w14:textId="69B4496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6539ED">
        <w:rPr>
          <w:rFonts w:ascii="Arial" w:hAnsi="Arial"/>
          <w:b/>
          <w:bCs/>
          <w:u w:val="single"/>
        </w:rPr>
        <w:t>N/A</w:t>
      </w:r>
    </w:p>
    <w:p w14:paraId="3F6A8EAF" w14:textId="28D2AD8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6539ED">
        <w:rPr>
          <w:rFonts w:ascii="Arial" w:hAnsi="Arial"/>
          <w:b/>
          <w:bCs/>
          <w:u w:val="single"/>
        </w:rPr>
        <w:t>N/A</w:t>
      </w:r>
    </w:p>
    <w:p w14:paraId="75F09328" w14:textId="7518F08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539ED">
        <w:rPr>
          <w:rFonts w:ascii="Arial" w:hAnsi="Arial"/>
          <w:b/>
          <w:bCs/>
          <w:u w:val="single"/>
        </w:rPr>
        <w:t>N/A</w:t>
      </w:r>
    </w:p>
    <w:p w14:paraId="294A5F97" w14:textId="58CFB6AB"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339F994F" w14:textId="12E5BA2E" w:rsidR="006539ED" w:rsidRDefault="006539ED" w:rsidP="006539ED">
      <w:pPr>
        <w:pStyle w:val="List"/>
        <w:tabs>
          <w:tab w:val="left" w:pos="9180"/>
        </w:tabs>
        <w:ind w:firstLine="0"/>
        <w:rPr>
          <w:rFonts w:ascii="Arial" w:hAnsi="Arial"/>
          <w:color w:val="000000"/>
        </w:rPr>
      </w:pPr>
      <w:r>
        <w:rPr>
          <w:rFonts w:ascii="Arial" w:hAnsi="Arial"/>
          <w:b/>
          <w:bCs/>
          <w:u w:val="single"/>
        </w:rPr>
        <w:t>N/A</w:t>
      </w:r>
    </w:p>
    <w:p w14:paraId="2541F9A6" w14:textId="05D3F620" w:rsidR="006539ED" w:rsidRDefault="00EA4133" w:rsidP="006539ED">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6539ED">
        <w:rPr>
          <w:rFonts w:ascii="Arial" w:hAnsi="Arial"/>
          <w:color w:val="000000"/>
        </w:rPr>
        <w:t xml:space="preserve"> </w:t>
      </w:r>
      <w:r w:rsidR="006539ED">
        <w:rPr>
          <w:rFonts w:ascii="Arial" w:hAnsi="Arial"/>
          <w:b/>
          <w:bCs/>
          <w:u w:val="single"/>
        </w:rPr>
        <w:t>N/A</w:t>
      </w:r>
    </w:p>
    <w:p w14:paraId="6F132E51" w14:textId="2F95E066"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 xml:space="preserve"> </w:t>
      </w:r>
    </w:p>
    <w:p w14:paraId="4DE4D189"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04B9936" w14:textId="77777777">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1C963773" w14:textId="77777777" w:rsidTr="006539ED">
        <w:trPr>
          <w:trHeight w:hRule="exact" w:val="442"/>
        </w:trPr>
        <w:tc>
          <w:tcPr>
            <w:tcW w:w="1440" w:type="dxa"/>
          </w:tcPr>
          <w:p w14:paraId="3F41584D" w14:textId="5E62A607" w:rsidR="00EA4133" w:rsidRPr="006539ED" w:rsidRDefault="006539ED" w:rsidP="006539ED">
            <w:pPr>
              <w:spacing w:before="120"/>
              <w:rPr>
                <w:rFonts w:ascii="Arial" w:hAnsi="Arial" w:cs="Arial"/>
                <w:b/>
                <w:bCs/>
              </w:rPr>
            </w:pPr>
            <w:r w:rsidRPr="006539ED">
              <w:rPr>
                <w:rFonts w:ascii="Arial" w:hAnsi="Arial" w:cs="Arial"/>
                <w:b/>
                <w:bCs/>
              </w:rPr>
              <w:t>N/A</w:t>
            </w:r>
          </w:p>
        </w:tc>
        <w:tc>
          <w:tcPr>
            <w:tcW w:w="1260" w:type="dxa"/>
          </w:tcPr>
          <w:p w14:paraId="48E557D7" w14:textId="77777777" w:rsidR="00EA4133" w:rsidRPr="006539ED" w:rsidRDefault="00EA4133" w:rsidP="006539ED"/>
        </w:tc>
        <w:tc>
          <w:tcPr>
            <w:tcW w:w="1260" w:type="dxa"/>
          </w:tcPr>
          <w:p w14:paraId="2167B317" w14:textId="77777777" w:rsidR="00EA4133" w:rsidRDefault="00EA4133">
            <w:pPr>
              <w:pStyle w:val="BodyText"/>
              <w:keepNext/>
              <w:keepLines/>
              <w:rPr>
                <w:rFonts w:ascii="Arial" w:hAnsi="Arial"/>
                <w:lang w:val="en-CA"/>
              </w:rPr>
            </w:pPr>
          </w:p>
        </w:tc>
        <w:tc>
          <w:tcPr>
            <w:tcW w:w="1440" w:type="dxa"/>
          </w:tcPr>
          <w:p w14:paraId="224E46FC" w14:textId="77777777" w:rsidR="00EA4133" w:rsidRDefault="00EA4133">
            <w:pPr>
              <w:pStyle w:val="BodyText"/>
              <w:keepNext/>
              <w:keepLines/>
              <w:rPr>
                <w:rFonts w:ascii="Arial" w:hAnsi="Arial"/>
                <w:lang w:val="en-CA"/>
              </w:rPr>
            </w:pPr>
          </w:p>
        </w:tc>
        <w:tc>
          <w:tcPr>
            <w:tcW w:w="1440" w:type="dxa"/>
          </w:tcPr>
          <w:p w14:paraId="3005EBEB" w14:textId="77777777" w:rsidR="00EA4133" w:rsidRDefault="00EA4133">
            <w:pPr>
              <w:pStyle w:val="BodyText"/>
              <w:keepNext/>
              <w:keepLines/>
              <w:rPr>
                <w:rFonts w:ascii="Arial" w:hAnsi="Arial"/>
                <w:lang w:val="en-CA"/>
              </w:rPr>
            </w:pPr>
          </w:p>
        </w:tc>
        <w:tc>
          <w:tcPr>
            <w:tcW w:w="1620" w:type="dxa"/>
          </w:tcPr>
          <w:p w14:paraId="6E385CF3" w14:textId="77777777" w:rsidR="00EA4133" w:rsidRDefault="00EA4133">
            <w:pPr>
              <w:pStyle w:val="BodyText"/>
              <w:keepNext/>
              <w:keepLines/>
              <w:rPr>
                <w:rFonts w:ascii="Arial" w:hAnsi="Arial"/>
                <w:lang w:val="en-CA"/>
              </w:rPr>
            </w:pPr>
          </w:p>
        </w:tc>
        <w:tc>
          <w:tcPr>
            <w:tcW w:w="1530" w:type="dxa"/>
          </w:tcPr>
          <w:p w14:paraId="0352DA88"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num" w:pos="450"/>
        </w:tabs>
        <w:ind w:left="360" w:hanging="180"/>
        <w:rPr>
          <w:rFonts w:ascii="Arial" w:hAnsi="Arial"/>
          <w:sz w:val="20"/>
        </w:rPr>
      </w:pPr>
      <w:r>
        <w:rPr>
          <w:rFonts w:ascii="Arial" w:hAnsi="Arial"/>
          <w:sz w:val="20"/>
        </w:rPr>
        <w:t>Indicate if Related Person</w:t>
      </w:r>
    </w:p>
    <w:p w14:paraId="0CB8AD5A" w14:textId="7BA6AC30" w:rsidR="00EA4133" w:rsidRDefault="00EA4133" w:rsidP="000822F2">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0822F2">
        <w:rPr>
          <w:rFonts w:ascii="Arial" w:hAnsi="Arial"/>
          <w:b/>
          <w:bCs/>
          <w:u w:val="single"/>
        </w:rPr>
        <w:t>N/A</w:t>
      </w:r>
      <w:r>
        <w:rPr>
          <w:rFonts w:ascii="Arial" w:hAnsi="Arial"/>
          <w:color w:val="000000"/>
        </w:rPr>
        <w:t xml:space="preserve"> </w:t>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690FED8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0822F2">
        <w:rPr>
          <w:rFonts w:ascii="Arial" w:hAnsi="Arial"/>
          <w:b/>
          <w:bCs/>
          <w:u w:val="single"/>
        </w:rPr>
        <w:t>N/A</w:t>
      </w:r>
    </w:p>
    <w:p w14:paraId="3C5D4B96" w14:textId="4A8FF70A"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822F2">
        <w:rPr>
          <w:rFonts w:ascii="Arial" w:hAnsi="Arial"/>
          <w:b/>
          <w:bCs/>
          <w:u w:val="single"/>
        </w:rPr>
        <w:t>N/A</w:t>
      </w:r>
    </w:p>
    <w:p w14:paraId="622999A0" w14:textId="2367898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0822F2">
        <w:rPr>
          <w:rFonts w:ascii="Arial" w:hAnsi="Arial"/>
          <w:b/>
          <w:bCs/>
          <w:u w:val="single"/>
        </w:rPr>
        <w:t>N/A</w:t>
      </w:r>
    </w:p>
    <w:p w14:paraId="70F76AAF" w14:textId="49A578F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0822F2">
        <w:rPr>
          <w:rFonts w:ascii="Arial" w:hAnsi="Arial"/>
          <w:b/>
          <w:bCs/>
          <w:u w:val="single"/>
        </w:rPr>
        <w:t>N/A</w:t>
      </w:r>
    </w:p>
    <w:p w14:paraId="5EC4BA6D" w14:textId="690F8282"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0822F2">
        <w:rPr>
          <w:rFonts w:ascii="Arial" w:hAnsi="Arial"/>
          <w:b/>
          <w:bCs/>
          <w:u w:val="single"/>
        </w:rPr>
        <w:t>N/A</w:t>
      </w:r>
    </w:p>
    <w:p w14:paraId="3C30D55E" w14:textId="5A300F05"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0822F2">
        <w:rPr>
          <w:rFonts w:ascii="Arial" w:hAnsi="Arial"/>
          <w:b/>
          <w:bCs/>
          <w:u w:val="single"/>
        </w:rPr>
        <w:t>N/A</w:t>
      </w:r>
    </w:p>
    <w:p w14:paraId="2EA624BB" w14:textId="70C92D1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0822F2">
        <w:rPr>
          <w:rFonts w:ascii="Arial" w:hAnsi="Arial"/>
          <w:b/>
          <w:bCs/>
          <w:u w:val="single"/>
        </w:rPr>
        <w:t>N/A</w:t>
      </w:r>
    </w:p>
    <w:p w14:paraId="08EECECF" w14:textId="2C2C10BF" w:rsidR="00EA4133" w:rsidRDefault="00EA4133" w:rsidP="000822F2">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0822F2">
        <w:rPr>
          <w:rFonts w:ascii="Arial" w:hAnsi="Arial"/>
          <w:b/>
          <w:bCs/>
          <w:u w:val="single"/>
        </w:rPr>
        <w:t>N/A</w:t>
      </w:r>
    </w:p>
    <w:p w14:paraId="3844D1D0" w14:textId="77777777" w:rsidR="000822F2" w:rsidRDefault="000822F2">
      <w:pPr>
        <w:pStyle w:val="List"/>
        <w:tabs>
          <w:tab w:val="left" w:pos="1080"/>
        </w:tabs>
        <w:ind w:left="0" w:firstLine="0"/>
        <w:rPr>
          <w:rFonts w:ascii="Arial" w:hAnsi="Arial"/>
          <w:b/>
        </w:rPr>
        <w:sectPr w:rsidR="000822F2" w:rsidSect="00843853">
          <w:pgSz w:w="12240" w:h="15840" w:code="1"/>
          <w:pgMar w:top="1152" w:right="1440" w:bottom="810" w:left="1440" w:header="720" w:footer="341" w:gutter="0"/>
          <w:pgNumType w:start="1"/>
          <w:cols w:space="720"/>
          <w:titlePg/>
          <w:docGrid w:linePitch="272"/>
        </w:sectPr>
      </w:pPr>
    </w:p>
    <w:p w14:paraId="4C809545" w14:textId="45D5DB24"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rsidP="00BF414F">
      <w:pPr>
        <w:pStyle w:val="List"/>
        <w:numPr>
          <w:ilvl w:val="0"/>
          <w:numId w:val="7"/>
        </w:numPr>
        <w:spacing w:after="120"/>
        <w:jc w:val="both"/>
        <w:rPr>
          <w:rFonts w:ascii="Arial" w:hAnsi="Arial"/>
        </w:rPr>
      </w:pPr>
      <w:r>
        <w:rPr>
          <w:rFonts w:ascii="Arial" w:hAnsi="Arial"/>
        </w:rPr>
        <w:t>As of the date hereof there is not material information concerning the Issuer which has not been publicly disclosed.</w:t>
      </w:r>
    </w:p>
    <w:p w14:paraId="512A80D2" w14:textId="6FC6C184" w:rsidR="00C500F0" w:rsidRDefault="00C500F0" w:rsidP="00BF414F">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6FAC83C" w14:textId="77777777" w:rsidR="00BF414F" w:rsidRDefault="00BF414F" w:rsidP="00BF414F">
      <w:pPr>
        <w:pStyle w:val="ListParagraph"/>
        <w:ind w:left="1080"/>
        <w:rPr>
          <w:rFonts w:ascii="Arial" w:hAnsi="Arial" w:cs="Arial"/>
          <w:sz w:val="24"/>
          <w:szCs w:val="24"/>
        </w:rPr>
      </w:pPr>
    </w:p>
    <w:p w14:paraId="2C0A6D12" w14:textId="77777777" w:rsidR="00C500F0" w:rsidRPr="00C500F0" w:rsidRDefault="00C500F0" w:rsidP="00BF414F">
      <w:pPr>
        <w:pStyle w:val="ListParagraph"/>
        <w:spacing w:before="240"/>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EF295FA" w14:textId="4D7F4805"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0822F2">
        <w:rPr>
          <w:rFonts w:ascii="Arial" w:hAnsi="Arial"/>
          <w:u w:val="single"/>
        </w:rPr>
        <w:t xml:space="preserve">May </w:t>
      </w:r>
      <w:r w:rsidR="00377DF2" w:rsidRPr="00377DF2">
        <w:rPr>
          <w:rFonts w:ascii="Arial" w:hAnsi="Arial"/>
          <w:u w:val="single"/>
        </w:rPr>
        <w:t>23</w:t>
      </w:r>
      <w:r w:rsidR="000822F2">
        <w:rPr>
          <w:rFonts w:ascii="Arial" w:hAnsi="Arial"/>
          <w:u w:val="single"/>
        </w:rPr>
        <w:t>, 2023</w:t>
      </w:r>
      <w:r>
        <w:rPr>
          <w:rFonts w:ascii="Arial" w:hAnsi="Arial"/>
        </w:rPr>
        <w:t>.</w:t>
      </w:r>
    </w:p>
    <w:p w14:paraId="3B70848B" w14:textId="60D96ECA" w:rsidR="00EA4133" w:rsidRDefault="00EA4133" w:rsidP="00BF414F">
      <w:pPr>
        <w:pStyle w:val="List"/>
        <w:tabs>
          <w:tab w:val="left" w:pos="9180"/>
        </w:tabs>
        <w:ind w:left="5310" w:hanging="5760"/>
        <w:rPr>
          <w:rFonts w:ascii="Arial" w:hAnsi="Arial"/>
        </w:rPr>
      </w:pPr>
      <w:r>
        <w:rPr>
          <w:rFonts w:ascii="Arial" w:hAnsi="Arial"/>
        </w:rPr>
        <w:tab/>
      </w:r>
      <w:r w:rsidR="000822F2" w:rsidRPr="000822F2">
        <w:rPr>
          <w:rFonts w:ascii="Arial" w:hAnsi="Arial"/>
          <w:u w:val="single"/>
        </w:rPr>
        <w:t>Doug Porter</w:t>
      </w:r>
      <w:r>
        <w:rPr>
          <w:rFonts w:ascii="Arial" w:hAnsi="Arial"/>
          <w:u w:val="single"/>
        </w:rPr>
        <w:br/>
      </w:r>
      <w:r>
        <w:rPr>
          <w:rFonts w:ascii="Arial" w:hAnsi="Arial"/>
        </w:rPr>
        <w:t>Name of Director or Senior Officer</w:t>
      </w:r>
    </w:p>
    <w:p w14:paraId="6699918D" w14:textId="6B4DECDA" w:rsidR="00EA4133" w:rsidRDefault="00EA4133" w:rsidP="00BF414F">
      <w:pPr>
        <w:pStyle w:val="List"/>
        <w:tabs>
          <w:tab w:val="left" w:pos="9180"/>
          <w:tab w:val="left" w:pos="9360"/>
        </w:tabs>
        <w:ind w:left="5310" w:hanging="5760"/>
        <w:rPr>
          <w:rFonts w:ascii="Arial" w:hAnsi="Arial"/>
        </w:rPr>
      </w:pPr>
      <w:r>
        <w:rPr>
          <w:rFonts w:ascii="Arial" w:hAnsi="Arial"/>
        </w:rPr>
        <w:tab/>
      </w:r>
      <w:r w:rsidR="000822F2" w:rsidRPr="000822F2">
        <w:rPr>
          <w:rFonts w:ascii="Arial" w:hAnsi="Arial"/>
          <w:u w:val="single"/>
        </w:rPr>
        <w:t>(</w:t>
      </w:r>
      <w:r w:rsidR="000822F2" w:rsidRPr="000822F2">
        <w:rPr>
          <w:rFonts w:ascii="Arial" w:hAnsi="Arial"/>
          <w:i/>
          <w:iCs/>
          <w:u w:val="single"/>
        </w:rPr>
        <w:t>signed</w:t>
      </w:r>
      <w:r w:rsidR="000822F2" w:rsidRPr="000822F2">
        <w:rPr>
          <w:rFonts w:ascii="Arial" w:hAnsi="Arial"/>
          <w:u w:val="single"/>
        </w:rPr>
        <w:t>) “Doug Porter’)</w:t>
      </w:r>
      <w:r>
        <w:rPr>
          <w:rFonts w:ascii="Arial" w:hAnsi="Arial"/>
        </w:rPr>
        <w:br/>
        <w:t>Signature</w:t>
      </w:r>
    </w:p>
    <w:p w14:paraId="2C71ABE2" w14:textId="6E166705" w:rsidR="00EA4133" w:rsidRDefault="00EA4133" w:rsidP="00BF414F">
      <w:pPr>
        <w:pStyle w:val="List"/>
        <w:tabs>
          <w:tab w:val="left" w:pos="9180"/>
          <w:tab w:val="left" w:pos="9360"/>
        </w:tabs>
        <w:ind w:left="5310" w:hanging="5760"/>
        <w:rPr>
          <w:rFonts w:ascii="Arial" w:hAnsi="Arial"/>
        </w:rPr>
      </w:pPr>
      <w:r>
        <w:rPr>
          <w:rFonts w:ascii="Arial" w:hAnsi="Arial"/>
        </w:rPr>
        <w:tab/>
      </w:r>
      <w:r w:rsidR="000822F2">
        <w:rPr>
          <w:rFonts w:ascii="Arial" w:hAnsi="Arial"/>
          <w:u w:val="single"/>
        </w:rPr>
        <w:t xml:space="preserve">President &amp; Chief Financial </w:t>
      </w:r>
      <w:r w:rsidR="00BF414F">
        <w:rPr>
          <w:rFonts w:ascii="Arial" w:hAnsi="Arial"/>
          <w:u w:val="single"/>
        </w:rPr>
        <w:t>O</w:t>
      </w:r>
      <w:r w:rsidR="000822F2">
        <w:rPr>
          <w:rFonts w:ascii="Arial" w:hAnsi="Arial"/>
          <w:u w:val="single"/>
        </w:rPr>
        <w:t>fficer</w:t>
      </w:r>
      <w:r>
        <w:rPr>
          <w:rFonts w:ascii="Arial" w:hAnsi="Arial"/>
        </w:rPr>
        <w:br/>
        <w:t>Official Capacity</w:t>
      </w:r>
    </w:p>
    <w:p w14:paraId="1FDBD8E4" w14:textId="77777777" w:rsidR="00C500F0" w:rsidRDefault="00C500F0">
      <w:pPr>
        <w:pStyle w:val="List"/>
        <w:tabs>
          <w:tab w:val="left" w:pos="9180"/>
          <w:tab w:val="left" w:pos="9360"/>
        </w:tabs>
        <w:ind w:left="5760" w:hanging="5760"/>
        <w:rPr>
          <w:rFonts w:ascii="Arial" w:hAnsi="Arial"/>
        </w:rPr>
      </w:pPr>
    </w:p>
    <w:p w14:paraId="501C69DC" w14:textId="77777777" w:rsidR="00C500F0" w:rsidRDefault="00C500F0">
      <w:pPr>
        <w:pStyle w:val="List"/>
        <w:tabs>
          <w:tab w:val="left" w:pos="9180"/>
          <w:tab w:val="left" w:pos="9360"/>
        </w:tabs>
        <w:ind w:left="5760" w:hanging="5760"/>
        <w:rPr>
          <w:rFonts w:ascii="Arial" w:hAnsi="Arial"/>
        </w:rPr>
      </w:pPr>
    </w:p>
    <w:p w14:paraId="25B42116" w14:textId="77777777" w:rsidR="000822F2" w:rsidRDefault="000822F2" w:rsidP="00C500F0">
      <w:pPr>
        <w:spacing w:before="120"/>
        <w:ind w:left="720"/>
        <w:jc w:val="center"/>
        <w:rPr>
          <w:rFonts w:ascii="Arial" w:eastAsia="Calibri" w:hAnsi="Arial" w:cs="Arial"/>
          <w:b/>
          <w:sz w:val="24"/>
          <w:szCs w:val="24"/>
        </w:rPr>
        <w:sectPr w:rsidR="000822F2" w:rsidSect="00843853">
          <w:pgSz w:w="12240" w:h="15840" w:code="1"/>
          <w:pgMar w:top="1152" w:right="1440" w:bottom="1152" w:left="1440" w:header="720" w:footer="936" w:gutter="0"/>
          <w:pgNumType w:start="1"/>
          <w:cols w:space="720"/>
          <w:titlePg/>
          <w:docGrid w:linePitch="272"/>
        </w:sectPr>
      </w:pPr>
    </w:p>
    <w:p w14:paraId="6D15FE40" w14:textId="087FB0F3"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43853">
      <w:pgSz w:w="12240" w:h="15840" w:code="1"/>
      <w:pgMar w:top="1152" w:right="1440" w:bottom="1152" w:left="1440" w:header="720" w:footer="93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37BE" w14:textId="77777777" w:rsidR="00FF4AE2" w:rsidRDefault="00FF4AE2">
      <w:r>
        <w:separator/>
      </w:r>
    </w:p>
  </w:endnote>
  <w:endnote w:type="continuationSeparator" w:id="0">
    <w:p w14:paraId="7E6920D3" w14:textId="77777777" w:rsidR="00FF4AE2" w:rsidRDefault="00FF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F6DB" w14:textId="77777777" w:rsidR="00843853" w:rsidRDefault="0084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E88C" w14:textId="619670B0" w:rsidR="00EA4133" w:rsidRDefault="00530303"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92348AD" wp14:editId="2D243873">
              <wp:simplePos x="0" y="0"/>
              <wp:positionH relativeFrom="column">
                <wp:posOffset>51435</wp:posOffset>
              </wp:positionH>
              <wp:positionV relativeFrom="paragraph">
                <wp:posOffset>-20321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0AB1" id="Straight Connector 1"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25658B16" w:rsidR="00EA4133" w:rsidRDefault="008003B9"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p w14:paraId="7B4DA7AF" w14:textId="54B11CCD" w:rsidR="00843853" w:rsidRPr="002557FD" w:rsidRDefault="00843853" w:rsidP="00843853">
    <w:pPr>
      <w:pStyle w:val="Footer"/>
      <w:spacing w:line="180" w:lineRule="exact"/>
      <w:rPr>
        <w:rFonts w:ascii="Arial" w:hAnsi="Arial" w:cs="Arial"/>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77DF2">
      <w:rPr>
        <w:rFonts w:ascii="Arial" w:hAnsi="Arial" w:cs="Arial"/>
        <w:sz w:val="16"/>
      </w:rPr>
      <w:t>4888-4429-2707,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A7E0" w14:textId="6D30F148" w:rsidR="00EA4133" w:rsidRDefault="00377DF2">
    <w:pPr>
      <w:pStyle w:val="Footer"/>
    </w:pPr>
    <w:fldSimple w:instr=" DOCPROPERTY FOOTERPATH \* MERGEFORMAT ">
      <w:r w:rsidR="00513E12">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AC8" w14:textId="77777777" w:rsidR="00FF4AE2" w:rsidRDefault="00FF4AE2">
      <w:r>
        <w:separator/>
      </w:r>
    </w:p>
  </w:footnote>
  <w:footnote w:type="continuationSeparator" w:id="0">
    <w:p w14:paraId="1CB8CC89" w14:textId="77777777" w:rsidR="00FF4AE2" w:rsidRDefault="00FF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7C3" w14:textId="77777777" w:rsidR="00843853" w:rsidRDefault="0084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DEB" w14:textId="77777777" w:rsidR="00843853" w:rsidRDefault="0084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5EB1" w14:textId="77777777" w:rsidR="00843853" w:rsidRDefault="0084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4B73ED1"/>
    <w:multiLevelType w:val="hybridMultilevel"/>
    <w:tmpl w:val="3C02A0A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5BBA891A"/>
    <w:lvl w:ilvl="0" w:tplc="11C6325E">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191071723">
    <w:abstractNumId w:val="2"/>
  </w:num>
  <w:num w:numId="2" w16cid:durableId="335546706">
    <w:abstractNumId w:val="13"/>
  </w:num>
  <w:num w:numId="3" w16cid:durableId="2143038951">
    <w:abstractNumId w:val="10"/>
  </w:num>
  <w:num w:numId="4" w16cid:durableId="1037700150">
    <w:abstractNumId w:val="14"/>
  </w:num>
  <w:num w:numId="5" w16cid:durableId="2121604674">
    <w:abstractNumId w:val="12"/>
  </w:num>
  <w:num w:numId="6" w16cid:durableId="1677153607">
    <w:abstractNumId w:val="0"/>
  </w:num>
  <w:num w:numId="7" w16cid:durableId="253635935">
    <w:abstractNumId w:val="11"/>
  </w:num>
  <w:num w:numId="8" w16cid:durableId="721369064">
    <w:abstractNumId w:val="5"/>
  </w:num>
  <w:num w:numId="9" w16cid:durableId="648898796">
    <w:abstractNumId w:val="7"/>
  </w:num>
  <w:num w:numId="10" w16cid:durableId="727336824">
    <w:abstractNumId w:val="4"/>
  </w:num>
  <w:num w:numId="11" w16cid:durableId="1244219111">
    <w:abstractNumId w:val="15"/>
  </w:num>
  <w:num w:numId="12" w16cid:durableId="443696894">
    <w:abstractNumId w:val="18"/>
  </w:num>
  <w:num w:numId="13" w16cid:durableId="632172970">
    <w:abstractNumId w:val="3"/>
  </w:num>
  <w:num w:numId="14" w16cid:durableId="1911423312">
    <w:abstractNumId w:val="9"/>
  </w:num>
  <w:num w:numId="15" w16cid:durableId="1974828399">
    <w:abstractNumId w:val="1"/>
  </w:num>
  <w:num w:numId="16" w16cid:durableId="956175667">
    <w:abstractNumId w:val="16"/>
  </w:num>
  <w:num w:numId="17" w16cid:durableId="101926253">
    <w:abstractNumId w:val="6"/>
  </w:num>
  <w:num w:numId="18" w16cid:durableId="1489518031">
    <w:abstractNumId w:val="17"/>
  </w:num>
  <w:num w:numId="19" w16cid:durableId="1071193267">
    <w:abstractNumId w:val="11"/>
    <w:lvlOverride w:ilvl="0">
      <w:startOverride w:val="2"/>
    </w:lvlOverride>
  </w:num>
  <w:num w:numId="20" w16cid:durableId="1196698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4429-2707, v. 1"/>
    <w:docVar w:name="ndGeneratedStampLocation" w:val="ExceptFirst"/>
  </w:docVars>
  <w:rsids>
    <w:rsidRoot w:val="007568B3"/>
    <w:rsid w:val="00003125"/>
    <w:rsid w:val="0001060A"/>
    <w:rsid w:val="000209D2"/>
    <w:rsid w:val="00033F9C"/>
    <w:rsid w:val="000561B6"/>
    <w:rsid w:val="0006492D"/>
    <w:rsid w:val="00074F33"/>
    <w:rsid w:val="000822F2"/>
    <w:rsid w:val="000B64EF"/>
    <w:rsid w:val="000C7CEC"/>
    <w:rsid w:val="00116314"/>
    <w:rsid w:val="00117090"/>
    <w:rsid w:val="0012089E"/>
    <w:rsid w:val="00122D6D"/>
    <w:rsid w:val="00173F0B"/>
    <w:rsid w:val="00186DA5"/>
    <w:rsid w:val="00241926"/>
    <w:rsid w:val="002557FD"/>
    <w:rsid w:val="002560F1"/>
    <w:rsid w:val="0027045E"/>
    <w:rsid w:val="0027701F"/>
    <w:rsid w:val="002B1174"/>
    <w:rsid w:val="002F0416"/>
    <w:rsid w:val="00305EB6"/>
    <w:rsid w:val="00326D55"/>
    <w:rsid w:val="003431FD"/>
    <w:rsid w:val="0035331C"/>
    <w:rsid w:val="00366991"/>
    <w:rsid w:val="00377DF2"/>
    <w:rsid w:val="003A701F"/>
    <w:rsid w:val="003C6D7E"/>
    <w:rsid w:val="003F3683"/>
    <w:rsid w:val="00414BC8"/>
    <w:rsid w:val="00422654"/>
    <w:rsid w:val="00456624"/>
    <w:rsid w:val="00467615"/>
    <w:rsid w:val="00467D7E"/>
    <w:rsid w:val="00483E6B"/>
    <w:rsid w:val="004A1403"/>
    <w:rsid w:val="004B214D"/>
    <w:rsid w:val="004C35B2"/>
    <w:rsid w:val="00513E12"/>
    <w:rsid w:val="00530303"/>
    <w:rsid w:val="00544BCF"/>
    <w:rsid w:val="00572A29"/>
    <w:rsid w:val="00590B7C"/>
    <w:rsid w:val="005F7663"/>
    <w:rsid w:val="00617A0E"/>
    <w:rsid w:val="0062717F"/>
    <w:rsid w:val="0064090F"/>
    <w:rsid w:val="006440A4"/>
    <w:rsid w:val="006539ED"/>
    <w:rsid w:val="00692E1E"/>
    <w:rsid w:val="007332D5"/>
    <w:rsid w:val="007568B3"/>
    <w:rsid w:val="007B0425"/>
    <w:rsid w:val="007B667E"/>
    <w:rsid w:val="007C4F86"/>
    <w:rsid w:val="007E3430"/>
    <w:rsid w:val="008003B9"/>
    <w:rsid w:val="00801A1A"/>
    <w:rsid w:val="00821E60"/>
    <w:rsid w:val="00840B45"/>
    <w:rsid w:val="00843853"/>
    <w:rsid w:val="00884056"/>
    <w:rsid w:val="008C2CF2"/>
    <w:rsid w:val="008E2091"/>
    <w:rsid w:val="008F27FF"/>
    <w:rsid w:val="008F4C45"/>
    <w:rsid w:val="009136E7"/>
    <w:rsid w:val="009466F0"/>
    <w:rsid w:val="00951528"/>
    <w:rsid w:val="0097763E"/>
    <w:rsid w:val="009846AF"/>
    <w:rsid w:val="009C1EC2"/>
    <w:rsid w:val="009C7F24"/>
    <w:rsid w:val="009E46EC"/>
    <w:rsid w:val="00A00C54"/>
    <w:rsid w:val="00A03695"/>
    <w:rsid w:val="00A10285"/>
    <w:rsid w:val="00A522D6"/>
    <w:rsid w:val="00A6085F"/>
    <w:rsid w:val="00A90670"/>
    <w:rsid w:val="00A93530"/>
    <w:rsid w:val="00A9392C"/>
    <w:rsid w:val="00B90847"/>
    <w:rsid w:val="00B923F6"/>
    <w:rsid w:val="00BE2894"/>
    <w:rsid w:val="00BF414F"/>
    <w:rsid w:val="00C024CC"/>
    <w:rsid w:val="00C10A32"/>
    <w:rsid w:val="00C500F0"/>
    <w:rsid w:val="00C536D3"/>
    <w:rsid w:val="00CB791C"/>
    <w:rsid w:val="00CC2519"/>
    <w:rsid w:val="00CF076A"/>
    <w:rsid w:val="00CF2A90"/>
    <w:rsid w:val="00CF5580"/>
    <w:rsid w:val="00CF72A4"/>
    <w:rsid w:val="00D902A8"/>
    <w:rsid w:val="00DA6830"/>
    <w:rsid w:val="00DB17C3"/>
    <w:rsid w:val="00DB640C"/>
    <w:rsid w:val="00E55E58"/>
    <w:rsid w:val="00E57E84"/>
    <w:rsid w:val="00E66456"/>
    <w:rsid w:val="00E83A64"/>
    <w:rsid w:val="00E97C13"/>
    <w:rsid w:val="00EA4133"/>
    <w:rsid w:val="00EF6F2B"/>
    <w:rsid w:val="00F0645C"/>
    <w:rsid w:val="00F33BBE"/>
    <w:rsid w:val="00F549FB"/>
    <w:rsid w:val="00FC0A23"/>
    <w:rsid w:val="00FF4181"/>
    <w:rsid w:val="00FF4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0822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 w:type="character" w:customStyle="1" w:styleId="Heading3Char">
    <w:name w:val="Heading 3 Char"/>
    <w:basedOn w:val="DefaultParagraphFont"/>
    <w:link w:val="Heading3"/>
    <w:uiPriority w:val="9"/>
    <w:semiHidden/>
    <w:rsid w:val="000822F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822F2"/>
    <w:rPr>
      <w:sz w:val="16"/>
      <w:szCs w:val="16"/>
    </w:rPr>
  </w:style>
  <w:style w:type="paragraph" w:styleId="CommentText">
    <w:name w:val="annotation text"/>
    <w:basedOn w:val="Normal"/>
    <w:link w:val="CommentTextChar"/>
    <w:uiPriority w:val="99"/>
    <w:semiHidden/>
    <w:unhideWhenUsed/>
    <w:rsid w:val="000822F2"/>
  </w:style>
  <w:style w:type="character" w:customStyle="1" w:styleId="CommentTextChar">
    <w:name w:val="Comment Text Char"/>
    <w:basedOn w:val="DefaultParagraphFont"/>
    <w:link w:val="CommentText"/>
    <w:uiPriority w:val="99"/>
    <w:semiHidden/>
    <w:rsid w:val="000822F2"/>
  </w:style>
  <w:style w:type="paragraph" w:styleId="CommentSubject">
    <w:name w:val="annotation subject"/>
    <w:basedOn w:val="CommentText"/>
    <w:next w:val="CommentText"/>
    <w:link w:val="CommentSubjectChar"/>
    <w:uiPriority w:val="99"/>
    <w:semiHidden/>
    <w:unhideWhenUsed/>
    <w:rsid w:val="000822F2"/>
    <w:rPr>
      <w:b/>
      <w:bCs/>
    </w:rPr>
  </w:style>
  <w:style w:type="character" w:customStyle="1" w:styleId="CommentSubjectChar">
    <w:name w:val="Comment Subject Char"/>
    <w:basedOn w:val="CommentTextChar"/>
    <w:link w:val="CommentSubject"/>
    <w:uiPriority w:val="99"/>
    <w:semiHidden/>
    <w:rsid w:val="000822F2"/>
    <w:rPr>
      <w:b/>
      <w:bCs/>
    </w:rPr>
  </w:style>
  <w:style w:type="character" w:customStyle="1" w:styleId="BodyTextChar">
    <w:name w:val="Body Text Char"/>
    <w:basedOn w:val="DefaultParagraphFont"/>
    <w:link w:val="BodyText"/>
    <w:rsid w:val="00E6645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Doug Porter</cp:lastModifiedBy>
  <cp:revision>2</cp:revision>
  <cp:lastPrinted>2004-05-20T20:47:00Z</cp:lastPrinted>
  <dcterms:created xsi:type="dcterms:W3CDTF">2023-06-02T04:15:00Z</dcterms:created>
  <dcterms:modified xsi:type="dcterms:W3CDTF">2023-06-02T04:15:00Z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